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jc w:val="center"/>
      </w:pPr>
      <w:r>
        <w:rPr>
          <w:rFonts w:ascii="Times New Roman" w:hAnsi="Times New Roman"/>
          <w:b/>
          <w:i w:val="0"/>
          <w:sz w:val="26"/>
        </w:rPr>
        <w:t>YARGILAMANIN YENİLENMESİ TALEBİ ÖRNEĞİ</w:t>
      </w:r>
      <w:r>
        <w:br/>
      </w:r>
      <w:r>
        <w:rPr>
          <w:rFonts w:ascii="Times New Roman" w:hAnsi="Times New Roman"/>
          <w:b/>
          <w:i w:val="0"/>
          <w:sz w:val="26"/>
        </w:rPr>
        <w:t>(CMK m. 247/3 — Hakkında güvenlik tedbirine hükmedilen kaçak sanık)</w:t>
      </w:r>
    </w:p>
    <w:p>
      <w:pPr>
        <w:spacing w:after="120"/>
        <w:jc w:val="left"/>
      </w:pPr>
      <w:r>
        <w:rPr>
          <w:rFonts w:ascii="Times New Roman" w:hAnsi="Times New Roman"/>
          <w:b/>
          <w:i w:val="0"/>
          <w:color w:val="444444"/>
          <w:sz w:val="21"/>
        </w:rPr>
        <w:t>KULLANIM NOTU — Dilekçeyi mahkemeye vermeden önce bu kutuyu siliniz.</w:t>
      </w:r>
    </w:p>
    <w:p>
      <w:pPr>
        <w:spacing w:after="120"/>
        <w:jc w:val="left"/>
      </w:pPr>
      <w:r>
        <w:rPr>
          <w:rFonts w:ascii="Times New Roman" w:hAnsi="Times New Roman"/>
          <w:b w:val="0"/>
          <w:i w:val="0"/>
          <w:color w:val="444444"/>
          <w:sz w:val="21"/>
        </w:rPr>
        <w:t>1. Bu yol, 7589 sayılı Kanunun 16. maddesiyle CMK m. 247/3'e eklenen cümleyle getirilmiştir (yürürlük: 31.07.2026). Düzenleme, Anayasa Mahkemesinin E. 2024/98, K. 2025/149 sayılı iptal kararı üzerine sevk edilmiştir.</w:t>
      </w:r>
    </w:p>
    <w:p>
      <w:pPr>
        <w:spacing w:after="120"/>
        <w:jc w:val="left"/>
      </w:pPr>
      <w:r>
        <w:rPr>
          <w:rFonts w:ascii="Times New Roman" w:hAnsi="Times New Roman"/>
          <w:b w:val="0"/>
          <w:i w:val="0"/>
          <w:color w:val="444444"/>
          <w:sz w:val="21"/>
        </w:rPr>
        <w:t xml:space="preserve">2. </w:t>
      </w:r>
      <w:r>
        <w:rPr>
          <w:rFonts w:ascii="Times New Roman" w:hAnsi="Times New Roman"/>
          <w:b/>
          <w:i w:val="0"/>
          <w:color w:val="444444"/>
          <w:sz w:val="21"/>
        </w:rPr>
        <w:t>Şart:</w:t>
      </w:r>
      <w:r>
        <w:rPr>
          <w:rFonts w:ascii="Times New Roman" w:hAnsi="Times New Roman"/>
          <w:b w:val="0"/>
          <w:i w:val="0"/>
          <w:color w:val="444444"/>
          <w:sz w:val="21"/>
        </w:rPr>
        <w:t xml:space="preserve"> Kaçak sanık hakkında </w:t>
      </w:r>
      <w:r>
        <w:rPr>
          <w:rFonts w:ascii="Times New Roman" w:hAnsi="Times New Roman"/>
          <w:b/>
          <w:i w:val="0"/>
          <w:color w:val="444444"/>
          <w:sz w:val="21"/>
        </w:rPr>
        <w:t>güvenlik tedbirine karar verilmiş</w:t>
      </w:r>
      <w:r>
        <w:rPr>
          <w:rFonts w:ascii="Times New Roman" w:hAnsi="Times New Roman"/>
          <w:b w:val="0"/>
          <w:i w:val="0"/>
          <w:color w:val="444444"/>
          <w:sz w:val="21"/>
        </w:rPr>
        <w:t xml:space="preserve"> olmasıdır. Sorgusu yapılmamış kaçak sanık hakkında mahkûmiyet ve ceza verilmesine yer olmadığı kararı verilemez; ancak güvenlik tedbirine hükmedilebilmesi karşısında savunma hakkının kullanılamaması, iptalin gerekçesini oluşturmuştur.</w:t>
      </w:r>
    </w:p>
    <w:p>
      <w:pPr>
        <w:spacing w:after="120"/>
        <w:jc w:val="left"/>
      </w:pPr>
      <w:r>
        <w:rPr>
          <w:rFonts w:ascii="Times New Roman" w:hAnsi="Times New Roman"/>
          <w:b w:val="0"/>
          <w:i w:val="0"/>
          <w:color w:val="444444"/>
          <w:sz w:val="21"/>
        </w:rPr>
        <w:t xml:space="preserve">3. </w:t>
      </w:r>
      <w:r>
        <w:rPr>
          <w:rFonts w:ascii="Times New Roman" w:hAnsi="Times New Roman"/>
          <w:b/>
          <w:i w:val="0"/>
          <w:color w:val="444444"/>
          <w:sz w:val="21"/>
        </w:rPr>
        <w:t>Talep edebilecek olanlar:</w:t>
      </w:r>
      <w:r>
        <w:rPr>
          <w:rFonts w:ascii="Times New Roman" w:hAnsi="Times New Roman"/>
          <w:b w:val="0"/>
          <w:i w:val="0"/>
          <w:color w:val="444444"/>
          <w:sz w:val="21"/>
        </w:rPr>
        <w:t xml:space="preserve"> kaçak sanık veya müdafii.</w:t>
      </w:r>
    </w:p>
    <w:p>
      <w:pPr>
        <w:spacing w:after="120"/>
        <w:jc w:val="left"/>
      </w:pPr>
      <w:r>
        <w:rPr>
          <w:rFonts w:ascii="Times New Roman" w:hAnsi="Times New Roman"/>
          <w:b w:val="0"/>
          <w:i w:val="0"/>
          <w:color w:val="444444"/>
          <w:sz w:val="21"/>
        </w:rPr>
        <w:t xml:space="preserve">4. </w:t>
      </w:r>
      <w:r>
        <w:rPr>
          <w:rFonts w:ascii="Times New Roman" w:hAnsi="Times New Roman"/>
          <w:b/>
          <w:i w:val="0"/>
          <w:color w:val="444444"/>
          <w:sz w:val="21"/>
        </w:rPr>
        <w:t>Merci:</w:t>
      </w:r>
      <w:r>
        <w:rPr>
          <w:rFonts w:ascii="Times New Roman" w:hAnsi="Times New Roman"/>
          <w:b w:val="0"/>
          <w:i w:val="0"/>
          <w:color w:val="444444"/>
          <w:sz w:val="21"/>
        </w:rPr>
        <w:t xml:space="preserve"> Yargılamanın yenilenmesi istemi </w:t>
      </w:r>
      <w:r>
        <w:rPr>
          <w:rFonts w:ascii="Times New Roman" w:hAnsi="Times New Roman"/>
          <w:b/>
          <w:i w:val="0"/>
          <w:color w:val="444444"/>
          <w:sz w:val="21"/>
        </w:rPr>
        <w:t>hükmü veren mahkemeye</w:t>
      </w:r>
      <w:r>
        <w:rPr>
          <w:rFonts w:ascii="Times New Roman" w:hAnsi="Times New Roman"/>
          <w:b w:val="0"/>
          <w:i w:val="0"/>
          <w:color w:val="444444"/>
          <w:sz w:val="21"/>
        </w:rPr>
        <w:t xml:space="preserve"> sunulur (CMK m. 318/1). Bu mahkeme istemin kabule değer olup olmadığına duruşma yapmaksızın karar verir.</w:t>
      </w:r>
    </w:p>
    <w:p>
      <w:pPr>
        <w:spacing w:after="120"/>
        <w:jc w:val="left"/>
      </w:pPr>
      <w:r>
        <w:rPr>
          <w:rFonts w:ascii="Times New Roman" w:hAnsi="Times New Roman"/>
          <w:b w:val="0"/>
          <w:i w:val="0"/>
          <w:color w:val="444444"/>
          <w:sz w:val="21"/>
        </w:rPr>
        <w:t xml:space="preserve">5. Dilekçede </w:t>
      </w:r>
      <w:r>
        <w:rPr>
          <w:rFonts w:ascii="Times New Roman" w:hAnsi="Times New Roman"/>
          <w:b/>
          <w:i w:val="0"/>
          <w:color w:val="444444"/>
          <w:sz w:val="21"/>
        </w:rPr>
        <w:t>“savunma hakkının kullanılmak istendiği” açıkça belirtilmelidir</w:t>
      </w:r>
      <w:r>
        <w:rPr>
          <w:rFonts w:ascii="Times New Roman" w:hAnsi="Times New Roman"/>
          <w:b w:val="0"/>
          <w:i w:val="0"/>
          <w:color w:val="444444"/>
          <w:sz w:val="21"/>
        </w:rPr>
        <w:t xml:space="preserve"> — kanun metni bu beyanı aramaktadır. Aşağıdaki metinde ilgili cümleyi kaldırmayınız.</w:t>
      </w:r>
    </w:p>
    <w:p>
      <w:pPr>
        <w:spacing w:after="120"/>
        <w:jc w:val="left"/>
      </w:pPr>
      <w:r>
        <w:rPr>
          <w:rFonts w:ascii="Times New Roman" w:hAnsi="Times New Roman"/>
          <w:b w:val="0"/>
          <w:i w:val="0"/>
          <w:color w:val="444444"/>
          <w:sz w:val="21"/>
        </w:rPr>
        <w:t>6. İstem kabule değer görülürse yargılamanın yenilenmesine ilişkin CMK m. 318 ve devamındaki usul işletilir.</w:t>
      </w:r>
    </w:p>
    <w:p>
      <w:pPr>
        <w:spacing w:after="120"/>
        <w:jc w:val="center"/>
      </w:pPr>
      <w:r>
        <w:rPr>
          <w:rFonts w:ascii="Times New Roman" w:hAnsi="Times New Roman"/>
          <w:b/>
          <w:i w:val="0"/>
          <w:sz w:val="26"/>
        </w:rPr>
        <w:t>[ ● ] MAHKEMESİ SAYIN BAŞKANLIĞINA / HÂKİMLİĞİNE</w:t>
      </w:r>
    </w:p>
    <w:p>
      <w:pPr>
        <w:spacing w:after="120"/>
        <w:ind w:left="2600" w:hanging="2600"/>
        <w:jc w:val="left"/>
      </w:pPr>
      <w:r>
        <w:rPr>
          <w:rFonts w:ascii="Times New Roman" w:hAnsi="Times New Roman"/>
          <w:b/>
          <w:i w:val="0"/>
          <w:sz w:val="24"/>
        </w:rPr>
        <w:t>DOSYA NO</w:t>
      </w:r>
      <w:r>
        <w:rPr>
          <w:rFonts w:ascii="Times New Roman" w:hAnsi="Times New Roman"/>
          <w:b w:val="0"/>
          <w:i w:val="0"/>
          <w:sz w:val="24"/>
        </w:rPr>
        <w:t xml:space="preserve">             : [ ● ] E. — [ ● ] K.</w:t>
      </w:r>
    </w:p>
    <w:p>
      <w:pPr>
        <w:spacing w:after="0"/>
        <w:ind w:left="2600" w:hanging="2600"/>
        <w:jc w:val="left"/>
      </w:pPr>
      <w:r>
        <w:rPr>
          <w:rFonts w:ascii="Times New Roman" w:hAnsi="Times New Roman"/>
          <w:b/>
          <w:i w:val="0"/>
          <w:sz w:val="24"/>
        </w:rPr>
        <w:t>TALEP EDEN</w:t>
      </w:r>
    </w:p>
    <w:p>
      <w:pPr>
        <w:spacing w:after="120"/>
        <w:ind w:left="2600" w:hanging="2600"/>
        <w:jc w:val="left"/>
      </w:pPr>
      <w:r>
        <w:rPr>
          <w:rFonts w:ascii="Times New Roman" w:hAnsi="Times New Roman"/>
          <w:b/>
          <w:i w:val="0"/>
          <w:sz w:val="24"/>
        </w:rPr>
        <w:t>SANIK</w:t>
      </w:r>
      <w:r>
        <w:rPr>
          <w:rFonts w:ascii="Times New Roman" w:hAnsi="Times New Roman"/>
          <w:b w:val="0"/>
          <w:i w:val="0"/>
          <w:sz w:val="24"/>
        </w:rPr>
        <w:t xml:space="preserve">                   : [ Ad Soyad ] (T.C. Kimlik No: [ ● ])</w:t>
      </w:r>
    </w:p>
    <w:p>
      <w:pPr>
        <w:spacing w:after="120"/>
        <w:ind w:left="2600"/>
        <w:jc w:val="left"/>
      </w:pPr>
      <w:r>
        <w:rPr>
          <w:rFonts w:ascii="Times New Roman" w:hAnsi="Times New Roman"/>
          <w:b w:val="0"/>
          <w:i w:val="0"/>
          <w:sz w:val="24"/>
        </w:rPr>
        <w:t>[ Adres ]</w:t>
      </w:r>
    </w:p>
    <w:p>
      <w:pPr>
        <w:spacing w:after="120"/>
        <w:ind w:left="2600" w:hanging="2600"/>
        <w:jc w:val="left"/>
      </w:pPr>
      <w:r>
        <w:rPr>
          <w:rFonts w:ascii="Times New Roman" w:hAnsi="Times New Roman"/>
          <w:b/>
          <w:i w:val="0"/>
          <w:sz w:val="24"/>
        </w:rPr>
        <w:t>MÜDAFİİ</w:t>
      </w:r>
      <w:r>
        <w:rPr>
          <w:rFonts w:ascii="Times New Roman" w:hAnsi="Times New Roman"/>
          <w:b w:val="0"/>
          <w:i w:val="0"/>
          <w:sz w:val="24"/>
        </w:rPr>
        <w:t xml:space="preserve">              : [ Varsa müdafiin adı ve adresi ]</w:t>
      </w:r>
    </w:p>
    <w:p>
      <w:pPr>
        <w:spacing w:after="360"/>
        <w:ind w:left="2600" w:hanging="2600"/>
        <w:jc w:val="left"/>
      </w:pPr>
      <w:r>
        <w:rPr>
          <w:rFonts w:ascii="Times New Roman" w:hAnsi="Times New Roman"/>
          <w:b/>
          <w:i w:val="0"/>
          <w:sz w:val="24"/>
        </w:rPr>
        <w:t>KONU</w:t>
      </w:r>
      <w:r>
        <w:rPr>
          <w:rFonts w:ascii="Times New Roman" w:hAnsi="Times New Roman"/>
          <w:b w:val="0"/>
          <w:i w:val="0"/>
          <w:sz w:val="24"/>
        </w:rPr>
        <w:t xml:space="preserve">                     : CMK m. 247/3 uyarınca, savunma hakkının kullanılmak istendiğinin bildirilmesi ile yargılamanın yenilenmesi talebimden ibarettir.</w:t>
      </w:r>
    </w:p>
    <w:p>
      <w:pPr>
        <w:spacing w:after="160" w:before="280"/>
        <w:ind w:left="0"/>
        <w:jc w:val="left"/>
      </w:pPr>
      <w:r>
        <w:rPr>
          <w:rFonts w:ascii="Times New Roman" w:hAnsi="Times New Roman"/>
          <w:b/>
          <w:i w:val="0"/>
          <w:sz w:val="24"/>
        </w:rPr>
        <w:t>AÇIKLAMALAR</w:t>
      </w:r>
    </w:p>
    <w:p>
      <w:pPr>
        <w:spacing w:after="160"/>
        <w:ind w:left="0"/>
        <w:jc w:val="both"/>
      </w:pPr>
      <w:r>
        <w:rPr>
          <w:rFonts w:ascii="Times New Roman" w:hAnsi="Times New Roman"/>
          <w:b/>
          <w:i w:val="0"/>
          <w:sz w:val="24"/>
        </w:rPr>
        <w:t>1.</w:t>
      </w:r>
      <w:r>
        <w:rPr>
          <w:rFonts w:ascii="Times New Roman" w:hAnsi="Times New Roman"/>
          <w:b w:val="0"/>
          <w:i w:val="0"/>
          <w:sz w:val="24"/>
        </w:rPr>
        <w:t xml:space="preserve"> Sayın Mahkemenizin yukarıda numarası yazılı dosyasında hakkımda [ ● ] suçundan kovuşturma yürütülmüş; CMK m. 247 uyarınca </w:t>
      </w:r>
      <w:r>
        <w:rPr>
          <w:rFonts w:ascii="Times New Roman" w:hAnsi="Times New Roman"/>
          <w:b/>
          <w:i w:val="0"/>
          <w:sz w:val="24"/>
        </w:rPr>
        <w:t>kaçak</w:t>
      </w:r>
      <w:r>
        <w:rPr>
          <w:rFonts w:ascii="Times New Roman" w:hAnsi="Times New Roman"/>
          <w:b w:val="0"/>
          <w:i w:val="0"/>
          <w:sz w:val="24"/>
        </w:rPr>
        <w:t xml:space="preserve"> olduğuma karar verilerek yokluğumda yargılama yapılmıştır.</w:t>
      </w:r>
    </w:p>
    <w:p>
      <w:pPr>
        <w:spacing w:after="160"/>
        <w:ind w:left="0"/>
        <w:jc w:val="both"/>
      </w:pPr>
      <w:r>
        <w:rPr>
          <w:rFonts w:ascii="Times New Roman" w:hAnsi="Times New Roman"/>
          <w:b/>
          <w:i w:val="0"/>
          <w:sz w:val="24"/>
        </w:rPr>
        <w:t>2.</w:t>
      </w:r>
      <w:r>
        <w:rPr>
          <w:rFonts w:ascii="Times New Roman" w:hAnsi="Times New Roman"/>
          <w:b w:val="0"/>
          <w:i w:val="0"/>
          <w:sz w:val="24"/>
        </w:rPr>
        <w:t xml:space="preserve"> Yargılama sonunda [ ● ] tarihli kararla hakkımda </w:t>
      </w:r>
      <w:r>
        <w:rPr>
          <w:rFonts w:ascii="Times New Roman" w:hAnsi="Times New Roman"/>
          <w:b/>
          <w:i w:val="0"/>
          <w:sz w:val="24"/>
        </w:rPr>
        <w:t>[ ● ] güvenlik tedbirine</w:t>
      </w:r>
      <w:r>
        <w:rPr>
          <w:rFonts w:ascii="Times New Roman" w:hAnsi="Times New Roman"/>
          <w:b w:val="0"/>
          <w:i w:val="0"/>
          <w:sz w:val="24"/>
        </w:rPr>
        <w:t xml:space="preserve"> hükmedilmiştir. Kovuşturma boyunca </w:t>
      </w:r>
      <w:r>
        <w:rPr>
          <w:rFonts w:ascii="Times New Roman" w:hAnsi="Times New Roman"/>
          <w:b/>
          <w:i w:val="0"/>
          <w:sz w:val="24"/>
        </w:rPr>
        <w:t>sorgum yapılmamış</w:t>
      </w:r>
      <w:r>
        <w:rPr>
          <w:rFonts w:ascii="Times New Roman" w:hAnsi="Times New Roman"/>
          <w:b w:val="0"/>
          <w:i w:val="0"/>
          <w:sz w:val="24"/>
        </w:rPr>
        <w:t>, savunmam alınmamıştır. [ Somut olayınıza göre doldurunuz; hükmedilen güvenlik tedbirini açıkça yazınız — örneğin müsadere, tüzel kişiler hakkında güvenlik tedbiri vb. ]</w:t>
      </w:r>
    </w:p>
    <w:p>
      <w:pPr>
        <w:spacing w:after="160"/>
        <w:ind w:left="0"/>
        <w:jc w:val="both"/>
      </w:pPr>
      <w:r>
        <w:rPr>
          <w:rFonts w:ascii="Times New Roman" w:hAnsi="Times New Roman"/>
          <w:b/>
          <w:i w:val="0"/>
          <w:sz w:val="24"/>
        </w:rPr>
        <w:t>3.</w:t>
      </w:r>
      <w:r>
        <w:rPr>
          <w:rFonts w:ascii="Times New Roman" w:hAnsi="Times New Roman"/>
          <w:b w:val="0"/>
          <w:i w:val="0"/>
          <w:sz w:val="24"/>
        </w:rPr>
        <w:t xml:space="preserve"> 16/7/2026 tarihli ve 7589 sayılı Kanunun 16. maddesiyle değiştirilen CMK m. 247/3 uyarınca; </w:t>
      </w:r>
      <w:r>
        <w:rPr>
          <w:rFonts w:ascii="Times New Roman" w:hAnsi="Times New Roman"/>
          <w:b w:val="0"/>
          <w:i/>
          <w:sz w:val="24"/>
        </w:rPr>
        <w:t>“Kaçak sanık hakkında kovuşturma yapılabilir. Ancak, daha önce sorgusu yapılmamış ise, mahkûmiyet ve ceza verilmesine yer olmadığı kararı verilemez. Güvenlik tedbirine karar verilmesi halinde kaçak sanık veya müdafii, savunma hakkının kullanılmak istendiğini belirterek yargılamanın yenilenmesini talep edebilir.”</w:t>
      </w:r>
    </w:p>
    <w:p>
      <w:pPr>
        <w:spacing w:after="160"/>
        <w:ind w:left="0"/>
        <w:jc w:val="both"/>
      </w:pPr>
      <w:r>
        <w:rPr>
          <w:rFonts w:ascii="Times New Roman" w:hAnsi="Times New Roman"/>
          <w:b/>
          <w:i w:val="0"/>
          <w:sz w:val="24"/>
        </w:rPr>
        <w:t>4.</w:t>
      </w:r>
      <w:r>
        <w:rPr>
          <w:rFonts w:ascii="Times New Roman" w:hAnsi="Times New Roman"/>
          <w:b w:val="0"/>
          <w:i w:val="0"/>
          <w:sz w:val="24"/>
        </w:rPr>
        <w:t xml:space="preserve"> Anılan düzenleme, Anayasa Mahkemesinin E. 2024/98, K. 2025/149 sayılı kararıyla verilen iptal kararı üzerine sevk edilmiştir. İptalin gerekçesi, sorgusu yapılmamış kaçak sanık hakkında güvenlik tedbirine hükmedilebilmesine karşın savunma hakkını kullanma imkânının bulunmamasıdır. Somut olayda da tam olarak bu durum gerçekleşmiştir.</w:t>
      </w:r>
    </w:p>
    <w:p>
      <w:pPr>
        <w:spacing w:after="160"/>
        <w:ind w:left="0"/>
        <w:jc w:val="both"/>
      </w:pPr>
      <w:r>
        <w:rPr>
          <w:rFonts w:ascii="Times New Roman" w:hAnsi="Times New Roman"/>
          <w:b/>
          <w:i w:val="0"/>
          <w:sz w:val="24"/>
        </w:rPr>
        <w:t>5.</w:t>
      </w:r>
      <w:r>
        <w:rPr>
          <w:rFonts w:ascii="Times New Roman" w:hAnsi="Times New Roman"/>
          <w:b w:val="0"/>
          <w:i w:val="0"/>
          <w:sz w:val="24"/>
        </w:rPr>
        <w:t xml:space="preserve"> İşbu dilekçe ile, </w:t>
      </w:r>
      <w:r>
        <w:rPr>
          <w:rFonts w:ascii="Times New Roman" w:hAnsi="Times New Roman"/>
          <w:b/>
          <w:i w:val="0"/>
          <w:sz w:val="24"/>
        </w:rPr>
        <w:t>savunma hakkımı kullanmak istediğimi</w:t>
      </w:r>
      <w:r>
        <w:rPr>
          <w:rFonts w:ascii="Times New Roman" w:hAnsi="Times New Roman"/>
          <w:b w:val="0"/>
          <w:i w:val="0"/>
          <w:sz w:val="24"/>
        </w:rPr>
        <w:t xml:space="preserve"> açıkça beyan ederim. Hakkımda hükmedilen güvenlik tedbiri bakımından savunmamın alınması ve delillerimin toplanması suretiyle yargılamanın yenilenmesi gerekmektedir.</w:t>
      </w:r>
    </w:p>
    <w:p>
      <w:pPr>
        <w:spacing w:after="160"/>
        <w:ind w:left="0"/>
        <w:jc w:val="both"/>
      </w:pPr>
      <w:r>
        <w:rPr>
          <w:rFonts w:ascii="Times New Roman" w:hAnsi="Times New Roman"/>
          <w:b/>
          <w:i w:val="0"/>
          <w:sz w:val="24"/>
        </w:rPr>
        <w:t>6.</w:t>
      </w:r>
      <w:r>
        <w:rPr>
          <w:rFonts w:ascii="Times New Roman" w:hAnsi="Times New Roman"/>
          <w:b w:val="0"/>
          <w:i w:val="0"/>
          <w:sz w:val="24"/>
        </w:rPr>
        <w:t xml:space="preserve"> Yargılamanın yenilenmesi istemi, CMK m. 318/1 uyarınca hükmü veren mahkemeye sunulmakta olup, istemin kabule değer olduğunun tespiti ile gereğinin yapılması gerekmektedir.</w:t>
      </w:r>
    </w:p>
    <w:p>
      <w:pPr>
        <w:spacing w:after="120" w:before="280"/>
        <w:ind w:left="2600" w:hanging="2600"/>
        <w:jc w:val="left"/>
      </w:pPr>
      <w:r>
        <w:rPr>
          <w:rFonts w:ascii="Times New Roman" w:hAnsi="Times New Roman"/>
          <w:b/>
          <w:i w:val="0"/>
          <w:sz w:val="24"/>
        </w:rPr>
        <w:t>HUKUKİ NEDENLER</w:t>
      </w:r>
      <w:r>
        <w:rPr>
          <w:rFonts w:ascii="Times New Roman" w:hAnsi="Times New Roman"/>
          <w:b w:val="0"/>
          <w:i w:val="0"/>
          <w:sz w:val="24"/>
        </w:rPr>
        <w:t xml:space="preserve"> : 5271 sayılı CMK m. 247, m. 248, m. 311 vd., m. 318 ve ilgili hükümleri, 7589 sayılı Kanun m. 16, Anayasa m. 36, 38, Avrupa İnsan Hakları Sözleşmesi m. 6 ve ilgili sair mevzuat.</w:t>
      </w:r>
    </w:p>
    <w:p>
      <w:pPr>
        <w:spacing w:after="360"/>
        <w:ind w:left="2600" w:hanging="2600"/>
        <w:jc w:val="left"/>
      </w:pPr>
      <w:r>
        <w:rPr>
          <w:rFonts w:ascii="Times New Roman" w:hAnsi="Times New Roman"/>
          <w:b/>
          <w:i w:val="0"/>
          <w:sz w:val="24"/>
        </w:rPr>
        <w:t>DELİLLER</w:t>
      </w:r>
      <w:r>
        <w:rPr>
          <w:rFonts w:ascii="Times New Roman" w:hAnsi="Times New Roman"/>
          <w:b w:val="0"/>
          <w:i w:val="0"/>
          <w:sz w:val="24"/>
        </w:rPr>
        <w:t xml:space="preserve">               : Sayın Mahkemenizin [ ● ] E. — [ ● ] K. sayılı dosyası, gerekçeli karar, kaçaklık kararına ilişkin evrak ve sair yasal deliller.</w:t>
      </w:r>
    </w:p>
    <w:p>
      <w:pPr>
        <w:spacing w:after="160" w:before="280"/>
        <w:ind w:left="0"/>
        <w:jc w:val="left"/>
      </w:pPr>
      <w:r>
        <w:rPr>
          <w:rFonts w:ascii="Times New Roman" w:hAnsi="Times New Roman"/>
          <w:b/>
          <w:i w:val="0"/>
          <w:sz w:val="24"/>
        </w:rPr>
        <w:t>SONUÇ VE İSTEM</w:t>
      </w:r>
    </w:p>
    <w:p>
      <w:pPr>
        <w:spacing w:after="160"/>
        <w:ind w:left="0"/>
        <w:jc w:val="both"/>
      </w:pPr>
      <w:r>
        <w:rPr>
          <w:rFonts w:ascii="Times New Roman" w:hAnsi="Times New Roman"/>
          <w:b w:val="0"/>
          <w:i w:val="0"/>
          <w:sz w:val="24"/>
        </w:rPr>
        <w:t>Yukarıda açıklanan nedenlerle;</w:t>
      </w:r>
    </w:p>
    <w:p>
      <w:pPr>
        <w:spacing w:after="160"/>
        <w:ind w:left="0"/>
        <w:jc w:val="both"/>
      </w:pPr>
      <w:r>
        <w:rPr>
          <w:rFonts w:ascii="Times New Roman" w:hAnsi="Times New Roman"/>
          <w:b/>
          <w:i w:val="0"/>
          <w:sz w:val="24"/>
        </w:rPr>
        <w:t>1.</w:t>
      </w:r>
      <w:r>
        <w:rPr>
          <w:rFonts w:ascii="Times New Roman" w:hAnsi="Times New Roman"/>
          <w:b w:val="0"/>
          <w:i w:val="0"/>
          <w:sz w:val="24"/>
        </w:rPr>
        <w:t xml:space="preserve"> CMK m. 247/3 uyarınca savunma hakkımı kullanmak istediğime ilişkin beyanım doğrultusunda, talebimin </w:t>
      </w:r>
      <w:r>
        <w:rPr>
          <w:rFonts w:ascii="Times New Roman" w:hAnsi="Times New Roman"/>
          <w:b/>
          <w:i w:val="0"/>
          <w:sz w:val="24"/>
        </w:rPr>
        <w:t>kabule değer olduğuna</w:t>
      </w:r>
      <w:r>
        <w:rPr>
          <w:rFonts w:ascii="Times New Roman" w:hAnsi="Times New Roman"/>
          <w:b w:val="0"/>
          <w:i w:val="0"/>
          <w:sz w:val="24"/>
        </w:rPr>
        <w:t>,</w:t>
      </w:r>
    </w:p>
    <w:p>
      <w:pPr>
        <w:spacing w:after="160"/>
        <w:ind w:left="0"/>
        <w:jc w:val="both"/>
      </w:pPr>
      <w:r>
        <w:rPr>
          <w:rFonts w:ascii="Times New Roman" w:hAnsi="Times New Roman"/>
          <w:b/>
          <w:i w:val="0"/>
          <w:sz w:val="24"/>
        </w:rPr>
        <w:t>2.</w:t>
      </w:r>
      <w:r>
        <w:rPr>
          <w:rFonts w:ascii="Times New Roman" w:hAnsi="Times New Roman"/>
          <w:b w:val="0"/>
          <w:i w:val="0"/>
          <w:sz w:val="24"/>
        </w:rPr>
        <w:t xml:space="preserve"> Hakkımda hükmedilen güvenlik tedbiri yönünden </w:t>
      </w:r>
      <w:r>
        <w:rPr>
          <w:rFonts w:ascii="Times New Roman" w:hAnsi="Times New Roman"/>
          <w:b/>
          <w:i w:val="0"/>
          <w:sz w:val="24"/>
        </w:rPr>
        <w:t>yargılamanın yenilenmesine</w:t>
      </w:r>
      <w:r>
        <w:rPr>
          <w:rFonts w:ascii="Times New Roman" w:hAnsi="Times New Roman"/>
          <w:b w:val="0"/>
          <w:i w:val="0"/>
          <w:sz w:val="24"/>
        </w:rPr>
        <w:t>,</w:t>
      </w:r>
    </w:p>
    <w:p>
      <w:pPr>
        <w:spacing w:after="160"/>
        <w:ind w:left="0"/>
        <w:jc w:val="both"/>
      </w:pPr>
      <w:r>
        <w:rPr>
          <w:rFonts w:ascii="Times New Roman" w:hAnsi="Times New Roman"/>
          <w:b/>
          <w:i w:val="0"/>
          <w:sz w:val="24"/>
        </w:rPr>
        <w:t>3.</w:t>
      </w:r>
      <w:r>
        <w:rPr>
          <w:rFonts w:ascii="Times New Roman" w:hAnsi="Times New Roman"/>
          <w:b w:val="0"/>
          <w:i w:val="0"/>
          <w:sz w:val="24"/>
        </w:rPr>
        <w:t xml:space="preserve"> Savunmamın alınması ve delillerimin toplanması suretiyle yargılamaya devam olunmasına,</w:t>
      </w:r>
    </w:p>
    <w:p>
      <w:pPr>
        <w:spacing w:after="480"/>
        <w:ind w:left="0"/>
        <w:jc w:val="both"/>
      </w:pPr>
      <w:r>
        <w:rPr>
          <w:rFonts w:ascii="Times New Roman" w:hAnsi="Times New Roman"/>
          <w:b w:val="0"/>
          <w:i w:val="0"/>
          <w:sz w:val="24"/>
        </w:rPr>
        <w:t>karar verilmesini saygıyla arz ve talep ederim. …… / …… / 20……</w:t>
      </w:r>
    </w:p>
    <w:p>
      <w:pPr>
        <w:spacing w:after="40"/>
        <w:jc w:val="right"/>
      </w:pPr>
      <w:r>
        <w:rPr>
          <w:rFonts w:ascii="Times New Roman" w:hAnsi="Times New Roman"/>
          <w:b/>
          <w:i w:val="0"/>
          <w:sz w:val="24"/>
        </w:rPr>
        <w:t>Sanık [ / Müdafii ]</w:t>
      </w:r>
    </w:p>
    <w:p>
      <w:pPr>
        <w:spacing w:after="360"/>
        <w:jc w:val="right"/>
      </w:pPr>
      <w:r>
        <w:rPr>
          <w:rFonts w:ascii="Times New Roman" w:hAnsi="Times New Roman"/>
          <w:b/>
          <w:i w:val="0"/>
          <w:sz w:val="24"/>
        </w:rPr>
        <w:t>[ Ad Soyad ]</w:t>
      </w:r>
    </w:p>
    <w:p>
      <w:pPr>
        <w:spacing w:after="120"/>
        <w:ind w:left="0"/>
        <w:jc w:val="left"/>
      </w:pPr>
      <w:r>
        <w:rPr>
          <w:rFonts w:ascii="Times New Roman" w:hAnsi="Times New Roman"/>
          <w:b/>
          <w:i w:val="0"/>
          <w:sz w:val="20"/>
        </w:rPr>
        <w:t>EKLER:</w:t>
      </w:r>
      <w:r>
        <w:rPr>
          <w:rFonts w:ascii="Times New Roman" w:hAnsi="Times New Roman"/>
          <w:b w:val="0"/>
          <w:i w:val="0"/>
          <w:sz w:val="20"/>
        </w:rPr>
        <w:t xml:space="preserve"> 1) Nüfus cüzdanı fotokopisi · 2) [ Varsa ] vekâletname/görevlendirme yazısı · 3) [ ● ]</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