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KESİNLEŞMİŞ HÜKÜMDE UYARLAMA TALEBİ ÖRNEĞİ</w:t>
      </w:r>
      <w:r>
        <w:br/>
      </w:r>
      <w:r>
        <w:rPr>
          <w:rFonts w:ascii="Times New Roman" w:hAnsi="Times New Roman"/>
          <w:b/>
          <w:i w:val="0"/>
          <w:sz w:val="26"/>
        </w:rPr>
        <w:t>(TCK m. 7/2 ve 5275 s. K. m. 98/1-a — TCK m. 158/4'ün lehe kanun olarak uygulanması)</w:t>
      </w:r>
    </w:p>
    <w:p>
      <w:pPr>
        <w:spacing w:after="120"/>
        <w:jc w:val="left"/>
      </w:pPr>
      <w:r>
        <w:rPr>
          <w:rFonts w:ascii="Times New Roman" w:hAnsi="Times New Roman"/>
          <w:b/>
          <w:i w:val="0"/>
          <w:color w:val="444444"/>
          <w:sz w:val="21"/>
        </w:rPr>
        <w:t>KULLANIM NOTU — Dilekçeyi mahkemeye vermeden önce bu kutuyu siliniz.</w:t>
      </w:r>
    </w:p>
    <w:p>
      <w:pPr>
        <w:spacing w:after="120"/>
        <w:jc w:val="left"/>
      </w:pPr>
      <w:r>
        <w:rPr>
          <w:rFonts w:ascii="Times New Roman" w:hAnsi="Times New Roman"/>
          <w:b/>
          <w:i w:val="0"/>
          <w:color w:val="444444"/>
          <w:sz w:val="21"/>
        </w:rPr>
        <w:t>Bu dilekçe, hakkınızdaki hüküm KESİNLEŞMİŞSE kullanılır.</w:t>
      </w:r>
      <w:r>
        <w:rPr>
          <w:rFonts w:ascii="Times New Roman" w:hAnsi="Times New Roman"/>
          <w:b w:val="0"/>
          <w:i w:val="0"/>
          <w:color w:val="444444"/>
          <w:sz w:val="21"/>
        </w:rPr>
        <w:t xml:space="preserve"> Yargılamanız sürüyorsa bunun yerine «Hesap / Kart Verme ile Sınırlı İştirak — Cezada Yarı Oranında İndirim Talebi» örneğini kullanınız.</w:t>
      </w:r>
    </w:p>
    <w:p>
      <w:pPr>
        <w:spacing w:after="120"/>
        <w:jc w:val="left"/>
      </w:pPr>
      <w:r>
        <w:rPr>
          <w:rFonts w:ascii="Times New Roman" w:hAnsi="Times New Roman"/>
          <w:b/>
          <w:i w:val="0"/>
          <w:color w:val="444444"/>
          <w:sz w:val="21"/>
        </w:rPr>
        <w:t>1. Nereye verilir?</w:t>
      </w:r>
      <w:r>
        <w:rPr>
          <w:rFonts w:ascii="Times New Roman" w:hAnsi="Times New Roman"/>
          <w:b w:val="0"/>
          <w:i w:val="0"/>
          <w:color w:val="444444"/>
          <w:sz w:val="21"/>
        </w:rPr>
        <w:t xml:space="preserve"> 5275 s. K. m. 98/1-a uyarınca, sonradan yürürlüğe giren kanun hükmünün TCK m. 7 kapsamında değerlendirilmesi gerekiyorsa karar </w:t>
      </w:r>
      <w:r>
        <w:rPr>
          <w:rFonts w:ascii="Times New Roman" w:hAnsi="Times New Roman"/>
          <w:b/>
          <w:i w:val="0"/>
          <w:color w:val="444444"/>
          <w:sz w:val="21"/>
        </w:rPr>
        <w:t>hükmü veren mahkemeden</w:t>
      </w:r>
      <w:r>
        <w:rPr>
          <w:rFonts w:ascii="Times New Roman" w:hAnsi="Times New Roman"/>
          <w:b w:val="0"/>
          <w:i w:val="0"/>
          <w:color w:val="444444"/>
          <w:sz w:val="21"/>
        </w:rPr>
        <w:t xml:space="preserve"> istenir. Dilekçe, sizi mahkûm eden mahkemeye verilir; infaz hâkimliğine değil.</w:t>
      </w:r>
    </w:p>
    <w:p>
      <w:pPr>
        <w:spacing w:after="120"/>
        <w:jc w:val="left"/>
      </w:pPr>
      <w:r>
        <w:rPr>
          <w:rFonts w:ascii="Times New Roman" w:hAnsi="Times New Roman"/>
          <w:b/>
          <w:i w:val="0"/>
          <w:color w:val="444444"/>
          <w:sz w:val="21"/>
        </w:rPr>
        <w:t>2. Dayanak nedir?</w:t>
      </w:r>
      <w:r>
        <w:rPr>
          <w:rFonts w:ascii="Times New Roman" w:hAnsi="Times New Roman"/>
          <w:b w:val="0"/>
          <w:i w:val="0"/>
          <w:color w:val="444444"/>
          <w:sz w:val="21"/>
        </w:rPr>
        <w:t xml:space="preserve"> TCK m. 7/2: </w:t>
      </w:r>
      <w:r>
        <w:rPr>
          <w:rFonts w:ascii="Times New Roman" w:hAnsi="Times New Roman"/>
          <w:b w:val="0"/>
          <w:i/>
          <w:color w:val="444444"/>
          <w:sz w:val="21"/>
        </w:rPr>
        <w:t xml:space="preserve">"Suçun işlendiği zaman yürürlükte bulunan kanun ile sonradan yürürlüğe giren kanunların hükümleri farklı ise, failin lehine olan kanun uygulanır </w:t>
      </w:r>
      <w:r>
        <w:rPr>
          <w:rFonts w:ascii="Times New Roman" w:hAnsi="Times New Roman"/>
          <w:b/>
          <w:i/>
          <w:color w:val="444444"/>
          <w:sz w:val="21"/>
        </w:rPr>
        <w:t>ve infaz olunur</w:t>
      </w:r>
      <w:r>
        <w:rPr>
          <w:rFonts w:ascii="Times New Roman" w:hAnsi="Times New Roman"/>
          <w:b w:val="0"/>
          <w:i/>
          <w:color w:val="444444"/>
          <w:sz w:val="21"/>
        </w:rPr>
        <w:t>."</w:t>
      </w:r>
      <w:r>
        <w:rPr>
          <w:rFonts w:ascii="Times New Roman" w:hAnsi="Times New Roman"/>
          <w:b w:val="0"/>
          <w:i w:val="0"/>
          <w:color w:val="444444"/>
          <w:sz w:val="21"/>
        </w:rPr>
        <w:t xml:space="preserve"> Maddedeki </w:t>
      </w:r>
      <w:r>
        <w:rPr>
          <w:rFonts w:ascii="Times New Roman" w:hAnsi="Times New Roman"/>
          <w:b/>
          <w:i w:val="0"/>
          <w:color w:val="444444"/>
          <w:sz w:val="21"/>
        </w:rPr>
        <w:t>"ve infaz olunur"</w:t>
      </w:r>
      <w:r>
        <w:rPr>
          <w:rFonts w:ascii="Times New Roman" w:hAnsi="Times New Roman"/>
          <w:b w:val="0"/>
          <w:i w:val="0"/>
          <w:color w:val="444444"/>
          <w:sz w:val="21"/>
        </w:rPr>
        <w:t xml:space="preserve"> ibaresi belirleyicidir: lehe kanun yalnızca devam eden yargılamalarda değil, </w:t>
      </w:r>
      <w:r>
        <w:rPr>
          <w:rFonts w:ascii="Times New Roman" w:hAnsi="Times New Roman"/>
          <w:b/>
          <w:i w:val="0"/>
          <w:color w:val="444444"/>
          <w:sz w:val="21"/>
        </w:rPr>
        <w:t>kesinleşmiş hükmün infazı aşamasında da</w:t>
      </w:r>
      <w:r>
        <w:rPr>
          <w:rFonts w:ascii="Times New Roman" w:hAnsi="Times New Roman"/>
          <w:b w:val="0"/>
          <w:i w:val="0"/>
          <w:color w:val="444444"/>
          <w:sz w:val="21"/>
        </w:rPr>
        <w:t xml:space="preserve"> uygulanır. TCK m. 158/4 ile getirilen yarı oranında indirim lehe bir hükümdür.</w:t>
      </w:r>
    </w:p>
    <w:p>
      <w:pPr>
        <w:spacing w:after="120"/>
        <w:jc w:val="left"/>
      </w:pPr>
      <w:r>
        <w:rPr>
          <w:rFonts w:ascii="Times New Roman" w:hAnsi="Times New Roman"/>
          <w:b/>
          <w:i w:val="0"/>
          <w:color w:val="444444"/>
          <w:sz w:val="21"/>
        </w:rPr>
        <w:t>3. Bu talebin en zayıf noktası — önceden bilin.</w:t>
      </w:r>
      <w:r>
        <w:rPr>
          <w:rFonts w:ascii="Times New Roman" w:hAnsi="Times New Roman"/>
          <w:b w:val="0"/>
          <w:i w:val="0"/>
          <w:color w:val="444444"/>
          <w:sz w:val="21"/>
        </w:rPr>
        <w:t xml:space="preserve"> Uyarlama yargılamasında kural olarak </w:t>
      </w:r>
      <w:r>
        <w:rPr>
          <w:rFonts w:ascii="Times New Roman" w:hAnsi="Times New Roman"/>
          <w:b/>
          <w:i w:val="0"/>
          <w:color w:val="444444"/>
          <w:sz w:val="21"/>
        </w:rPr>
        <w:t>maddi olay yeniden tartışılmaz</w:t>
      </w:r>
      <w:r>
        <w:rPr>
          <w:rFonts w:ascii="Times New Roman" w:hAnsi="Times New Roman"/>
          <w:b w:val="0"/>
          <w:i w:val="0"/>
          <w:color w:val="444444"/>
          <w:sz w:val="21"/>
        </w:rPr>
        <w:t>; mahkeme dosya üzerinden, kesinleşmiş hükümdeki tespitlere göre karar verir. TCK m. 158/4'ün uygulanabilmesi ise fiilinizin "hesap/kart vermekle sınırlı" olup olmadığının değerlendirilmesini gerektirir. Bu nedenle:</w:t>
      </w:r>
    </w:p>
    <w:p>
      <w:pPr>
        <w:spacing w:after="120"/>
        <w:jc w:val="left"/>
      </w:pPr>
      <w:r>
        <w:rPr>
          <w:rFonts w:ascii="Times New Roman" w:hAnsi="Times New Roman"/>
          <w:b w:val="0"/>
          <w:i w:val="0"/>
          <w:color w:val="444444"/>
          <w:sz w:val="21"/>
        </w:rPr>
        <w:t xml:space="preserve">— </w:t>
      </w:r>
      <w:r>
        <w:rPr>
          <w:rFonts w:ascii="Times New Roman" w:hAnsi="Times New Roman"/>
          <w:b/>
          <w:i w:val="0"/>
          <w:color w:val="444444"/>
          <w:sz w:val="21"/>
        </w:rPr>
        <w:t>Gerekçeli kararda</w:t>
      </w:r>
      <w:r>
        <w:rPr>
          <w:rFonts w:ascii="Times New Roman" w:hAnsi="Times New Roman"/>
          <w:b w:val="0"/>
          <w:i w:val="0"/>
          <w:color w:val="444444"/>
          <w:sz w:val="21"/>
        </w:rPr>
        <w:t xml:space="preserve"> katkınızın yalnızca hesap/kart vermekten ibaret olduğu zaten yazılıysa talebiniz güçlüdür; dilekçede kararın ilgili sayfa ve paragrafına atıf yapınız.</w:t>
      </w:r>
    </w:p>
    <w:p>
      <w:pPr>
        <w:spacing w:after="120"/>
        <w:jc w:val="left"/>
      </w:pPr>
      <w:r>
        <w:rPr>
          <w:rFonts w:ascii="Times New Roman" w:hAnsi="Times New Roman"/>
          <w:b w:val="0"/>
          <w:i w:val="0"/>
          <w:color w:val="444444"/>
          <w:sz w:val="21"/>
        </w:rPr>
        <w:t xml:space="preserve">— Gerekçeli kararda böyle bir tespit yoksa veya fiiliniz daha geniş anlatılmışsa mahkeme talebi reddedebilir. Bu hâlde infaz aşamasındaysanız </w:t>
      </w:r>
      <w:r>
        <w:rPr>
          <w:rFonts w:ascii="Times New Roman" w:hAnsi="Times New Roman"/>
          <w:b/>
          <w:i w:val="0"/>
          <w:color w:val="444444"/>
          <w:sz w:val="21"/>
        </w:rPr>
        <w:t>etkin pişmanlık yolu</w:t>
      </w:r>
      <w:r>
        <w:rPr>
          <w:rFonts w:ascii="Times New Roman" w:hAnsi="Times New Roman"/>
          <w:b w:val="0"/>
          <w:i w:val="0"/>
          <w:color w:val="444444"/>
          <w:sz w:val="21"/>
        </w:rPr>
        <w:t xml:space="preserve"> (aşağıdaki 5. madde) daha gerçekçi olabilir.</w:t>
      </w:r>
    </w:p>
    <w:p>
      <w:pPr>
        <w:spacing w:after="120"/>
        <w:jc w:val="left"/>
      </w:pPr>
      <w:r>
        <w:rPr>
          <w:rFonts w:ascii="Times New Roman" w:hAnsi="Times New Roman"/>
          <w:b/>
          <w:i w:val="0"/>
          <w:color w:val="444444"/>
          <w:sz w:val="21"/>
        </w:rPr>
        <w:t>4. İnfazın durdurulması istenebilir.</w:t>
      </w:r>
      <w:r>
        <w:rPr>
          <w:rFonts w:ascii="Times New Roman" w:hAnsi="Times New Roman"/>
          <w:b w:val="0"/>
          <w:i w:val="0"/>
          <w:color w:val="444444"/>
          <w:sz w:val="21"/>
        </w:rPr>
        <w:t xml:space="preserve"> 5275 s. K. m. 98/2'ye göre bu başvurular cezanın infazını kendiliğinden ertelemez; </w:t>
      </w:r>
      <w:r>
        <w:rPr>
          <w:rFonts w:ascii="Times New Roman" w:hAnsi="Times New Roman"/>
          <w:b/>
          <w:i w:val="0"/>
          <w:color w:val="444444"/>
          <w:sz w:val="21"/>
        </w:rPr>
        <w:t>ancak mahkeme, olayın özelliğine göre infazın ertelenmesine veya durdurulmasına karar verebilir.</w:t>
      </w:r>
      <w:r>
        <w:rPr>
          <w:rFonts w:ascii="Times New Roman" w:hAnsi="Times New Roman"/>
          <w:b w:val="0"/>
          <w:i w:val="0"/>
          <w:color w:val="444444"/>
          <w:sz w:val="21"/>
        </w:rPr>
        <w:t xml:space="preserve"> Talep bu nedenle dilekçede yer almaktadır; takdir mahkemeye aittir.</w:t>
      </w:r>
    </w:p>
    <w:p>
      <w:pPr>
        <w:spacing w:after="120"/>
        <w:jc w:val="left"/>
      </w:pPr>
      <w:r>
        <w:rPr>
          <w:rFonts w:ascii="Times New Roman" w:hAnsi="Times New Roman"/>
          <w:b/>
          <w:i w:val="0"/>
          <w:color w:val="444444"/>
          <w:sz w:val="21"/>
        </w:rPr>
        <w:t>5. Bu yol, etkin pişmanlık yolundan farklıdır ve onun yerine geçmez.</w:t>
      </w:r>
      <w:r>
        <w:rPr>
          <w:rFonts w:ascii="Times New Roman" w:hAnsi="Times New Roman"/>
          <w:b w:val="0"/>
          <w:i w:val="0"/>
          <w:color w:val="444444"/>
          <w:sz w:val="21"/>
        </w:rPr>
        <w:t xml:space="preserve"> 7589 s. K. geçici m. 1/7, infaz aşamasındaki ve hakkında TCK m. 168 uygulanmamış hükümlülere, mağdurun zararını ihtardan itibaren </w:t>
      </w:r>
      <w:r>
        <w:rPr>
          <w:rFonts w:ascii="Times New Roman" w:hAnsi="Times New Roman"/>
          <w:b/>
          <w:i w:val="0"/>
          <w:color w:val="444444"/>
          <w:sz w:val="21"/>
        </w:rPr>
        <w:t>altı ay içinde tamamen gidermeleri</w:t>
      </w:r>
      <w:r>
        <w:rPr>
          <w:rFonts w:ascii="Times New Roman" w:hAnsi="Times New Roman"/>
          <w:b w:val="0"/>
          <w:i w:val="0"/>
          <w:color w:val="444444"/>
          <w:sz w:val="21"/>
        </w:rPr>
        <w:t xml:space="preserve"> hâlinde TCK m. 168/2'den yararlanma imkânı tanır. O yolda infazın durdurulmasına karar verilemez. İki yol birlikte de işletilebilir; şartlarınız uyuyorsa «Etkin Pişmanlık Talebi» örneğine de bakınız.</w:t>
      </w:r>
    </w:p>
    <w:p>
      <w:pPr>
        <w:spacing w:after="120"/>
        <w:jc w:val="left"/>
      </w:pPr>
      <w:r>
        <w:rPr>
          <w:rFonts w:ascii="Times New Roman" w:hAnsi="Times New Roman"/>
          <w:b/>
          <w:i w:val="0"/>
          <w:color w:val="444444"/>
          <w:sz w:val="21"/>
        </w:rPr>
        <w:t>6. Dürüst uyarı.</w:t>
      </w:r>
      <w:r>
        <w:rPr>
          <w:rFonts w:ascii="Times New Roman" w:hAnsi="Times New Roman"/>
          <w:b w:val="0"/>
          <w:i w:val="0"/>
          <w:color w:val="444444"/>
          <w:sz w:val="21"/>
        </w:rPr>
        <w:t xml:space="preserve"> 7589 s. K. geçici m. 1, kesinleşmiş hükümler için yalnızca yukarıdaki etkin pişmanlık yolunu açıkça düzenlemiş; TCK m. 158/4'ün uyarlama yoluyla uygulanacağına dair ayrı bir hüküm koymamıştır. Talep, TCK m. 7/2'nin emredici niteliğine ve 5275 s. K. m. 98/1-a'ya dayanmaktadır. Fıkra 2026 tarihli olduğundan bu konuda </w:t>
      </w:r>
      <w:r>
        <w:rPr>
          <w:rFonts w:ascii="Times New Roman" w:hAnsi="Times New Roman"/>
          <w:b/>
          <w:i w:val="0"/>
          <w:color w:val="444444"/>
          <w:sz w:val="21"/>
        </w:rPr>
        <w:t>Yargıtay içtihadı henüz oluşmamıştır</w:t>
      </w:r>
      <w:r>
        <w:rPr>
          <w:rFonts w:ascii="Times New Roman" w:hAnsi="Times New Roman"/>
          <w:b w:val="0"/>
          <w:i w:val="0"/>
          <w:color w:val="444444"/>
          <w:sz w:val="21"/>
        </w:rPr>
        <w:t>; sonuç garanti edilemez.</w:t>
      </w:r>
    </w:p>
    <w:p>
      <w:pPr>
        <w:spacing w:after="120"/>
        <w:jc w:val="left"/>
      </w:pPr>
      <w:r>
        <w:rPr>
          <w:rFonts w:ascii="Times New Roman" w:hAnsi="Times New Roman"/>
          <w:b/>
          <w:i w:val="0"/>
          <w:color w:val="444444"/>
          <w:sz w:val="21"/>
        </w:rPr>
        <w:t>7. İndirimin şartı yine "sınırlı olma"dır.</w:t>
      </w:r>
      <w:r>
        <w:rPr>
          <w:rFonts w:ascii="Times New Roman" w:hAnsi="Times New Roman"/>
          <w:b w:val="0"/>
          <w:i w:val="0"/>
          <w:color w:val="444444"/>
          <w:sz w:val="21"/>
        </w:rPr>
        <w:t xml:space="preserve"> Katkınız hesap/kart vermenin ötesine geçtiyse (mağdurla temas, kendini tanıtma, parayı çekme, başkalarını ikna etme, organizasyonu yönlendirme) indirim uygulanmaz. Ayrıca TCK m. 158/3'teki artırım hükmü yürürlüktedir.</w:t>
      </w:r>
    </w:p>
    <w:p>
      <w:pPr>
        <w:spacing w:after="120"/>
        <w:jc w:val="center"/>
      </w:pPr>
      <w:r>
        <w:rPr>
          <w:rFonts w:ascii="Times New Roman" w:hAnsi="Times New Roman"/>
          <w:b/>
          <w:i w:val="0"/>
          <w:sz w:val="26"/>
        </w:rPr>
        <w:t>[ ● ] MAHKEMESİ SAYIN BAŞKANLIĞINA / HÂKİMLİĞİNE</w:t>
      </w:r>
    </w:p>
    <w:p>
      <w:pPr>
        <w:spacing w:after="120"/>
        <w:ind w:left="2600" w:hanging="2600"/>
        <w:jc w:val="left"/>
      </w:pPr>
      <w:r>
        <w:rPr>
          <w:rFonts w:ascii="Times New Roman" w:hAnsi="Times New Roman"/>
          <w:b/>
          <w:i w:val="0"/>
          <w:sz w:val="24"/>
        </w:rPr>
        <w:t>DOSYA NO</w:t>
      </w:r>
      <w:r>
        <w:rPr>
          <w:rFonts w:ascii="Times New Roman" w:hAnsi="Times New Roman"/>
          <w:b w:val="0"/>
          <w:i w:val="0"/>
          <w:sz w:val="24"/>
        </w:rPr>
        <w:t xml:space="preserve">             : [ ● ] E. — [ ● ] K.</w:t>
      </w:r>
    </w:p>
    <w:p>
      <w:pPr>
        <w:spacing w:after="0"/>
        <w:ind w:left="2600" w:hanging="2600"/>
        <w:jc w:val="left"/>
      </w:pPr>
      <w:r>
        <w:rPr>
          <w:rFonts w:ascii="Times New Roman" w:hAnsi="Times New Roman"/>
          <w:b/>
          <w:i w:val="0"/>
          <w:sz w:val="24"/>
        </w:rPr>
        <w:t>TALEP EDEN</w:t>
      </w:r>
    </w:p>
    <w:p>
      <w:pPr>
        <w:spacing w:after="120"/>
        <w:ind w:left="2600" w:hanging="2600"/>
        <w:jc w:val="left"/>
      </w:pPr>
      <w:r>
        <w:rPr>
          <w:rFonts w:ascii="Times New Roman" w:hAnsi="Times New Roman"/>
          <w:b/>
          <w:i w:val="0"/>
          <w:sz w:val="24"/>
        </w:rPr>
        <w:t>HÜKÜMLÜ</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Ceza infaz kurumu adı ve adresi / ikamet adresi ]</w:t>
      </w:r>
    </w:p>
    <w:p>
      <w:pPr>
        <w:spacing w:after="120"/>
        <w:ind w:left="2600" w:hanging="2600"/>
        <w:jc w:val="left"/>
      </w:pPr>
      <w:r>
        <w:rPr>
          <w:rFonts w:ascii="Times New Roman" w:hAnsi="Times New Roman"/>
          <w:b/>
          <w:i w:val="0"/>
          <w:sz w:val="24"/>
        </w:rPr>
        <w:t>MÜDAFİİ</w:t>
      </w:r>
      <w:r>
        <w:rPr>
          <w:rFonts w:ascii="Times New Roman" w:hAnsi="Times New Roman"/>
          <w:b w:val="0"/>
          <w:i w:val="0"/>
          <w:sz w:val="24"/>
        </w:rPr>
        <w:t xml:space="preserve">              : [ Varsa müdafiin adı ve adresi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TCK m. 7/2 ve 5275 sayılı Kanunun 98/1-a maddesi uyarınca, sonradan yürürlüğe giren TCK m. 158/4 hükmünün lehe kanun olarak değerlendirilmesi suretiyle uyarlama yapılması ve cezamın yeniden belirlenmesi talebimden ibarettir.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Sayın Mahkemenizin yukarıda numarası yazılı dosyasında hakkımda TCK m. [ 157 / 158 ] uyarınca [ ● ] tarihinde mahkûmiyet hükmü kurulmuş; hüküm [ ● ] tarihinde kesinleşmiştir. [ İnfaz durumunuzu belirtiniz: ceza infaz kurumunda mısınız, denetimli serbestlik aşamasında mısınız, yoksa infaz henüz başlamadı mı? ]</w:t>
      </w:r>
    </w:p>
    <w:p>
      <w:pPr>
        <w:spacing w:after="160"/>
        <w:ind w:left="0"/>
        <w:jc w:val="both"/>
      </w:pPr>
      <w:r>
        <w:rPr>
          <w:rFonts w:ascii="Times New Roman" w:hAnsi="Times New Roman"/>
          <w:b/>
          <w:i w:val="0"/>
          <w:sz w:val="24"/>
        </w:rPr>
        <w:t>2.</w:t>
      </w:r>
      <w:r>
        <w:rPr>
          <w:rFonts w:ascii="Times New Roman" w:hAnsi="Times New Roman"/>
          <w:b w:val="0"/>
          <w:i w:val="0"/>
          <w:sz w:val="24"/>
        </w:rPr>
        <w:t xml:space="preserve"> Hükümden sonra, 16/7/2026 tarihli ve 7589 sayılı Kanunun 13. maddesiyle Türk Ceza Kanununun 158. maddesine dördüncü fıkra eklenmiştir (RG 31.07.2026). Fıkra şöyledir: </w:t>
      </w:r>
      <w:r>
        <w:rPr>
          <w:rFonts w:ascii="Times New Roman" w:hAnsi="Times New Roman"/>
          <w:b w:val="0"/>
          <w:i/>
          <w:sz w:val="24"/>
        </w:rPr>
        <w:t>"Bu madde ile 157 nci maddede yer alan suçlara iştirakin, kendisine veya başkasına haksız bir menfaat sağlamak amacıyla kendisine veya başkasına ait banka veya kredi kartı gibi ödeme araçlarını ya da banka, aracı kurum, ödeme hizmeti sağlayıcıları veya kripto varlık hizmet sağlayıcıları nezdinde bulunan hesabın kullanılmasını sağlayan zorunlu bilgileri veya araçları başkasına vermek fiiliyle sınırlı olması halinde verilecek ceza yarı oranında indirilir."</w:t>
      </w:r>
    </w:p>
    <w:p>
      <w:pPr>
        <w:spacing w:after="160"/>
        <w:ind w:left="0"/>
        <w:jc w:val="both"/>
      </w:pPr>
      <w:r>
        <w:rPr>
          <w:rFonts w:ascii="Times New Roman" w:hAnsi="Times New Roman"/>
          <w:b/>
          <w:i w:val="0"/>
          <w:sz w:val="24"/>
        </w:rPr>
        <w:t>3.</w:t>
      </w:r>
      <w:r>
        <w:rPr>
          <w:rFonts w:ascii="Times New Roman" w:hAnsi="Times New Roman"/>
          <w:b w:val="0"/>
          <w:i w:val="0"/>
          <w:sz w:val="24"/>
        </w:rPr>
        <w:t xml:space="preserve"> Türk Ceza Kanununun 7. maddesinin ikinci fıkrası uyarınca, suçun işlendiği zaman yürürlükte bulunan kanun ile sonradan yürürlüğe giren kanunların hükümleri farklı ise </w:t>
      </w:r>
      <w:r>
        <w:rPr>
          <w:rFonts w:ascii="Times New Roman" w:hAnsi="Times New Roman"/>
          <w:b/>
          <w:i w:val="0"/>
          <w:sz w:val="24"/>
        </w:rPr>
        <w:t>failin lehine olan kanun uygulanır ve infaz olunur.</w:t>
      </w:r>
      <w:r>
        <w:rPr>
          <w:rFonts w:ascii="Times New Roman" w:hAnsi="Times New Roman"/>
          <w:b w:val="0"/>
          <w:i w:val="0"/>
          <w:sz w:val="24"/>
        </w:rPr>
        <w:t xml:space="preserve"> Anılan dördüncü fıkra, cezanın yarı oranında indirilmesini öngördüğünden lehe hükümdür.</w:t>
      </w:r>
    </w:p>
    <w:p>
      <w:pPr>
        <w:spacing w:after="160"/>
        <w:ind w:left="0"/>
        <w:jc w:val="both"/>
      </w:pPr>
      <w:r>
        <w:rPr>
          <w:rFonts w:ascii="Times New Roman" w:hAnsi="Times New Roman"/>
          <w:b/>
          <w:i w:val="0"/>
          <w:sz w:val="24"/>
        </w:rPr>
        <w:t>4.</w:t>
      </w:r>
      <w:r>
        <w:rPr>
          <w:rFonts w:ascii="Times New Roman" w:hAnsi="Times New Roman"/>
          <w:b w:val="0"/>
          <w:i w:val="0"/>
          <w:sz w:val="24"/>
        </w:rPr>
        <w:t xml:space="preserve"> 5275 sayılı Ceza ve Güvenlik Tedbirlerinin İnfazı Hakkında Kanunun 98. maddesinin birinci fıkrasının (a) bendi uyarınca, </w:t>
      </w:r>
      <w:r>
        <w:rPr>
          <w:rFonts w:ascii="Times New Roman" w:hAnsi="Times New Roman"/>
          <w:b/>
          <w:i w:val="0"/>
          <w:sz w:val="24"/>
        </w:rPr>
        <w:t>sonradan yürürlüğe giren kanun hükmünün Türk Ceza Kanununun 7 nci maddesi kapsamında değerlendirilmesi gerekirse hükmü veren mahkemeden</w:t>
      </w:r>
      <w:r>
        <w:rPr>
          <w:rFonts w:ascii="Times New Roman" w:hAnsi="Times New Roman"/>
          <w:b w:val="0"/>
          <w:i w:val="0"/>
          <w:sz w:val="24"/>
        </w:rPr>
        <w:t xml:space="preserve"> karar istenir. İşbu talep bu hükme dayanmaktadır.</w:t>
      </w:r>
    </w:p>
    <w:p>
      <w:pPr>
        <w:spacing w:after="160"/>
        <w:ind w:left="0"/>
        <w:jc w:val="both"/>
      </w:pPr>
      <w:r>
        <w:rPr>
          <w:rFonts w:ascii="Times New Roman" w:hAnsi="Times New Roman"/>
          <w:b/>
          <w:i w:val="0"/>
          <w:sz w:val="24"/>
        </w:rPr>
        <w:t>5.</w:t>
      </w:r>
      <w:r>
        <w:rPr>
          <w:rFonts w:ascii="Times New Roman" w:hAnsi="Times New Roman"/>
          <w:b w:val="0"/>
          <w:i w:val="0"/>
          <w:sz w:val="24"/>
        </w:rPr>
        <w:t xml:space="preserve"> Somut olayda mahkûmiyetime esas alınan fiil, [ ● ] Bankası nezdindeki [ ● ] numaralı hesabıma ilişkin [ kart / şifre / internet bankacılığı bilgileri / kripto varlık hesabı erişim bilgileri ]ni [ ● ] tarihinde [ ● ]'a vermekten ibarettir. Gerekçeli kararda da tespit edildiği üzere; mağdurla temasım olmamış, kendimi kamu görevlisi veya banka çalışanı olarak tanıtmamış, aldatıcı hareketlere katılmamış, hesaba gelen parayı çekmemiş veya yönlendirmemiş, başka kişileri hesap vermeye ikna etmemişimdir. Bu itibarla iştirakim, TCK m. 158/4'te tanımlanan fiille </w:t>
      </w:r>
      <w:r>
        <w:rPr>
          <w:rFonts w:ascii="Times New Roman" w:hAnsi="Times New Roman"/>
          <w:b/>
          <w:i w:val="0"/>
          <w:sz w:val="24"/>
        </w:rPr>
        <w:t>sınırlıdır</w:t>
      </w:r>
      <w:r>
        <w:rPr>
          <w:rFonts w:ascii="Times New Roman" w:hAnsi="Times New Roman"/>
          <w:b w:val="0"/>
          <w:i w:val="0"/>
          <w:sz w:val="24"/>
        </w:rPr>
        <w:t>. [ Gerekçeli kararın ilgili sayfa ve paragraflarına atıf yaparak somutlaştırınız. ]</w:t>
      </w:r>
    </w:p>
    <w:p>
      <w:pPr>
        <w:spacing w:after="160"/>
        <w:ind w:left="0"/>
        <w:jc w:val="both"/>
      </w:pPr>
      <w:r>
        <w:rPr>
          <w:rFonts w:ascii="Times New Roman" w:hAnsi="Times New Roman"/>
          <w:b/>
          <w:i w:val="0"/>
          <w:sz w:val="24"/>
        </w:rPr>
        <w:t>6.</w:t>
      </w:r>
      <w:r>
        <w:rPr>
          <w:rFonts w:ascii="Times New Roman" w:hAnsi="Times New Roman"/>
          <w:b w:val="0"/>
          <w:i w:val="0"/>
          <w:sz w:val="24"/>
        </w:rPr>
        <w:t xml:space="preserve"> Bu durumda hakkımda TCK m. 158/4'ün uygulanarak cezanın yarı oranında indirilmesi ve infaz edilecek cezanın yeniden belirlenmesi gerekmektedir. Aksi hâlde, aynı fiili işleyen ve hükmü henüz kesinleşmemiş kişiler indirimden yararlanırken, yalnızca hükmün kesinleşme tarihine bağlı olarak farklı bir sonuçla karşılaşmam söz konusu olacaktır; bu ise TCK m. 7/2'nin amacına aykırıdır.</w:t>
      </w:r>
    </w:p>
    <w:p>
      <w:pPr>
        <w:spacing w:after="160"/>
        <w:ind w:left="0"/>
        <w:jc w:val="both"/>
      </w:pPr>
      <w:r>
        <w:rPr>
          <w:rFonts w:ascii="Times New Roman" w:hAnsi="Times New Roman"/>
          <w:b/>
          <w:i w:val="0"/>
          <w:sz w:val="24"/>
        </w:rPr>
        <w:t>7.</w:t>
      </w:r>
      <w:r>
        <w:rPr>
          <w:rFonts w:ascii="Times New Roman" w:hAnsi="Times New Roman"/>
          <w:b w:val="0"/>
          <w:i w:val="0"/>
          <w:sz w:val="24"/>
        </w:rPr>
        <w:t xml:space="preserve"> 5275 sayılı Kanunun 98. maddesinin ikinci fıkrası uyarınca bu başvuru cezanın infazını kendiliğinden ertelemez; ancak Sayın Mahkemeniz olayın özelliğine göre infazın ertelenmesine veya durdurulmasına karar verebilir. Uyarlama sonucunda cezamın önemli ölçüde azalacak olması karşısında, karar verilinceye kadar infazın durdurulmasını takdirlerinize arz ederim.</w:t>
      </w:r>
    </w:p>
    <w:p>
      <w:pPr>
        <w:spacing w:after="160"/>
        <w:ind w:left="0"/>
        <w:jc w:val="both"/>
      </w:pPr>
      <w:r>
        <w:rPr>
          <w:rFonts w:ascii="Times New Roman" w:hAnsi="Times New Roman"/>
          <w:b/>
          <w:i w:val="0"/>
          <w:sz w:val="24"/>
        </w:rPr>
        <w:t>8.</w:t>
      </w:r>
      <w:r>
        <w:rPr>
          <w:rFonts w:ascii="Times New Roman" w:hAnsi="Times New Roman"/>
          <w:b w:val="0"/>
          <w:i w:val="0"/>
          <w:sz w:val="24"/>
        </w:rPr>
        <w:t xml:space="preserve"> [ İnfaz aşamasındaysanız ve hakkınızda TCK m. 168 uygulanmamışsa: "Ayrıca 7589 sayılı Kanunun geçici 1. maddesinin yedinci fıkrası kapsamında bulunduğumun tespiti ile mağdurun zararının giderilmesi için tarafıma ihtarda bulunulmasını da talep ederim." ]</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5237 sayılı TCK m. 7, m. 157, m. 158 (özellikle 158/4), m. 168, 7589 sayılı Kanun m. 13 ve geçici m. 1, 5275 sayılı Kanun m. 98, 5271 sayılı CMK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Sayın Mahkemenizin [ ● ] E. — [ ● ] K. sayılı dosyası, gerekçeli karar, kesinleşme şerhi, infaz evrakı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TCK m. 7/2 ve 5275 sayılı Kanunun 98/1-a maddesi uyarınca </w:t>
      </w:r>
      <w:r>
        <w:rPr>
          <w:rFonts w:ascii="Times New Roman" w:hAnsi="Times New Roman"/>
          <w:b/>
          <w:i w:val="0"/>
          <w:sz w:val="24"/>
        </w:rPr>
        <w:t>uyarlama yargılaması yapılmasına</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Suça iştirakimin TCK m. 158/4'te tanımlanan fiille </w:t>
      </w:r>
      <w:r>
        <w:rPr>
          <w:rFonts w:ascii="Times New Roman" w:hAnsi="Times New Roman"/>
          <w:b/>
          <w:i w:val="0"/>
          <w:sz w:val="24"/>
        </w:rPr>
        <w:t>sınırlı olduğunun tespiti</w:t>
      </w:r>
      <w:r>
        <w:rPr>
          <w:rFonts w:ascii="Times New Roman" w:hAnsi="Times New Roman"/>
          <w:b w:val="0"/>
          <w:i w:val="0"/>
          <w:sz w:val="24"/>
        </w:rPr>
        <w:t xml:space="preserve"> ile hakkımda anılan fıkra uyarınca </w:t>
      </w:r>
      <w:r>
        <w:rPr>
          <w:rFonts w:ascii="Times New Roman" w:hAnsi="Times New Roman"/>
          <w:b/>
          <w:i w:val="0"/>
          <w:sz w:val="24"/>
        </w:rPr>
        <w:t>cezanın yarı oranında indirilmesine</w:t>
      </w:r>
      <w:r>
        <w:rPr>
          <w:rFonts w:ascii="Times New Roman" w:hAnsi="Times New Roman"/>
          <w:b w:val="0"/>
          <w:i w:val="0"/>
          <w:sz w:val="24"/>
        </w:rPr>
        <w:t xml:space="preserve"> ve infaz edilecek cezanın yeniden belirlenmesine,</w:t>
      </w:r>
    </w:p>
    <w:p>
      <w:pPr>
        <w:spacing w:after="160"/>
        <w:ind w:left="0"/>
        <w:jc w:val="both"/>
      </w:pPr>
      <w:r>
        <w:rPr>
          <w:rFonts w:ascii="Times New Roman" w:hAnsi="Times New Roman"/>
          <w:b/>
          <w:i w:val="0"/>
          <w:sz w:val="24"/>
        </w:rPr>
        <w:t>3.</w:t>
      </w:r>
      <w:r>
        <w:rPr>
          <w:rFonts w:ascii="Times New Roman" w:hAnsi="Times New Roman"/>
          <w:b w:val="0"/>
          <w:i w:val="0"/>
          <w:sz w:val="24"/>
        </w:rPr>
        <w:t xml:space="preserve"> 5275 sayılı Kanunun 98/2. maddesi uyarınca, karar verilinceye kadar </w:t>
      </w:r>
      <w:r>
        <w:rPr>
          <w:rFonts w:ascii="Times New Roman" w:hAnsi="Times New Roman"/>
          <w:b/>
          <w:i w:val="0"/>
          <w:sz w:val="24"/>
        </w:rPr>
        <w:t>infazın durdurulmasına</w:t>
      </w:r>
      <w:r>
        <w:rPr>
          <w:rFonts w:ascii="Times New Roman" w:hAnsi="Times New Roman"/>
          <w:b w:val="0"/>
          <w:i w:val="0"/>
          <w:sz w:val="24"/>
        </w:rPr>
        <w:t>,</w:t>
      </w:r>
    </w:p>
    <w:p>
      <w:pPr>
        <w:spacing w:after="480"/>
        <w:ind w:left="0"/>
        <w:jc w:val="both"/>
      </w:pPr>
      <w:r>
        <w:rPr>
          <w:rFonts w:ascii="Times New Roman" w:hAnsi="Times New Roman"/>
          <w:b w:val="0"/>
          <w:i w:val="0"/>
          <w:sz w:val="24"/>
        </w:rPr>
        <w:t>karar verilmesini saygıyla arz ve talep ederim. …… / …… / 20……</w:t>
      </w:r>
    </w:p>
    <w:p>
      <w:pPr>
        <w:spacing w:after="40"/>
        <w:jc w:val="right"/>
      </w:pPr>
      <w:r>
        <w:rPr>
          <w:rFonts w:ascii="Times New Roman" w:hAnsi="Times New Roman"/>
          <w:b/>
          <w:i w:val="0"/>
          <w:sz w:val="24"/>
        </w:rPr>
        <w:t>Hükümlü [ / Müdafii ]</w:t>
      </w:r>
    </w:p>
    <w:p>
      <w:pPr>
        <w:spacing w:after="360"/>
        <w:jc w:val="right"/>
      </w:pPr>
      <w:r>
        <w:rPr>
          <w:rFonts w:ascii="Times New Roman" w:hAnsi="Times New Roman"/>
          <w:b/>
          <w:i w:val="0"/>
          <w:sz w:val="24"/>
        </w:rPr>
        <w:t>[ Ad Soyad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Nüfus cüzdanı fotokopisi · 2) Gerekçeli karar örneği · 3) [ Varsa ] ödeme/tazmin belgeleri · 4) [ ● ]</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