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rFonts w:ascii="Times New Roman" w:hAnsi="Times New Roman"/>
          <w:b/>
          <w:i w:val="0"/>
          <w:sz w:val="26"/>
        </w:rPr>
        <w:t>TALEP ARTIRIM DİLEKÇESİ ÖRNEĞİ</w:t>
      </w:r>
      <w:r>
        <w:br/>
      </w:r>
      <w:r>
        <w:rPr>
          <w:rFonts w:ascii="Times New Roman" w:hAnsi="Times New Roman"/>
          <w:b/>
          <w:i w:val="0"/>
          <w:sz w:val="26"/>
        </w:rPr>
        <w:t>(HMK m. 109/4 — Kısmi davada bir defaya mahsus talep artırımı)</w:t>
      </w:r>
    </w:p>
    <w:p>
      <w:pPr>
        <w:spacing w:after="120"/>
        <w:jc w:val="left"/>
      </w:pPr>
      <w:r>
        <w:rPr>
          <w:rFonts w:ascii="Times New Roman" w:hAnsi="Times New Roman"/>
          <w:b/>
          <w:i w:val="0"/>
          <w:color w:val="444444"/>
          <w:sz w:val="21"/>
        </w:rPr>
        <w:t>KULLANIM NOTU — Dilekçeyi mahkemeye vermeden önce bu kutuyu siliniz.</w:t>
      </w:r>
    </w:p>
    <w:p>
      <w:pPr>
        <w:spacing w:after="120"/>
        <w:jc w:val="left"/>
      </w:pPr>
      <w:r>
        <w:rPr>
          <w:rFonts w:ascii="Times New Roman" w:hAnsi="Times New Roman"/>
          <w:b w:val="0"/>
          <w:i w:val="0"/>
          <w:color w:val="444444"/>
          <w:sz w:val="21"/>
        </w:rPr>
        <w:t xml:space="preserve">1. Bu dilekçe yalnızca </w:t>
      </w:r>
      <w:r>
        <w:rPr>
          <w:rFonts w:ascii="Times New Roman" w:hAnsi="Times New Roman"/>
          <w:b/>
          <w:i w:val="0"/>
          <w:color w:val="444444"/>
          <w:sz w:val="21"/>
        </w:rPr>
        <w:t>kısmi dava</w:t>
      </w:r>
      <w:r>
        <w:rPr>
          <w:rFonts w:ascii="Times New Roman" w:hAnsi="Times New Roman"/>
          <w:b w:val="0"/>
          <w:i w:val="0"/>
          <w:color w:val="444444"/>
          <w:sz w:val="21"/>
        </w:rPr>
        <w:t xml:space="preserve"> olarak açılmış davalarda kullanılır.</w:t>
      </w:r>
    </w:p>
    <w:p>
      <w:pPr>
        <w:spacing w:after="120"/>
        <w:jc w:val="left"/>
      </w:pPr>
      <w:r>
        <w:rPr>
          <w:rFonts w:ascii="Times New Roman" w:hAnsi="Times New Roman"/>
          <w:b w:val="0"/>
          <w:i w:val="0"/>
          <w:color w:val="444444"/>
          <w:sz w:val="21"/>
        </w:rPr>
        <w:t xml:space="preserve">2. </w:t>
      </w:r>
      <w:r>
        <w:rPr>
          <w:rFonts w:ascii="Times New Roman" w:hAnsi="Times New Roman"/>
          <w:b/>
          <w:i w:val="0"/>
          <w:color w:val="444444"/>
          <w:sz w:val="21"/>
        </w:rPr>
        <w:t>Bu hak aynı davada bir defaya mahsustur.</w:t>
      </w:r>
      <w:r>
        <w:rPr>
          <w:rFonts w:ascii="Times New Roman" w:hAnsi="Times New Roman"/>
          <w:b w:val="0"/>
          <w:i w:val="0"/>
          <w:color w:val="444444"/>
          <w:sz w:val="21"/>
        </w:rPr>
        <w:t xml:space="preserve"> Bir kez kullandıktan sonra talebinizi yeniden artıramazsınız. Bu nedenle artırımı, hesabın netleştiği aşamada (kural olarak bilirkişi raporundan sonra) ve tereddüt kalmayacak şekilde yapınız.</w:t>
      </w:r>
    </w:p>
    <w:p>
      <w:pPr>
        <w:spacing w:after="120"/>
        <w:jc w:val="left"/>
      </w:pPr>
      <w:r>
        <w:rPr>
          <w:rFonts w:ascii="Times New Roman" w:hAnsi="Times New Roman"/>
          <w:b w:val="0"/>
          <w:i w:val="0"/>
          <w:color w:val="444444"/>
          <w:sz w:val="21"/>
        </w:rPr>
        <w:t xml:space="preserve">3. Artırım </w:t>
      </w:r>
      <w:r>
        <w:rPr>
          <w:rFonts w:ascii="Times New Roman" w:hAnsi="Times New Roman"/>
          <w:b/>
          <w:i w:val="0"/>
          <w:color w:val="444444"/>
          <w:sz w:val="21"/>
        </w:rPr>
        <w:t>tahkikat sona ermeden</w:t>
      </w:r>
      <w:r>
        <w:rPr>
          <w:rFonts w:ascii="Times New Roman" w:hAnsi="Times New Roman"/>
          <w:b w:val="0"/>
          <w:i w:val="0"/>
          <w:color w:val="444444"/>
          <w:sz w:val="21"/>
        </w:rPr>
        <w:t xml:space="preserve"> yapılmalıdır. Tahkikat bittikten sonra bu yol kapanır.</w:t>
      </w:r>
    </w:p>
    <w:p>
      <w:pPr>
        <w:spacing w:after="120"/>
        <w:jc w:val="left"/>
      </w:pPr>
      <w:r>
        <w:rPr>
          <w:rFonts w:ascii="Times New Roman" w:hAnsi="Times New Roman"/>
          <w:b w:val="0"/>
          <w:i w:val="0"/>
          <w:color w:val="444444"/>
          <w:sz w:val="21"/>
        </w:rPr>
        <w:t xml:space="preserve">4. Artırılan kısım bakımından da </w:t>
      </w:r>
      <w:r>
        <w:rPr>
          <w:rFonts w:ascii="Times New Roman" w:hAnsi="Times New Roman"/>
          <w:b/>
          <w:i w:val="0"/>
          <w:color w:val="444444"/>
          <w:sz w:val="21"/>
        </w:rPr>
        <w:t>zamanaşımı dava tarihinde kesilmiş sayılır</w:t>
      </w:r>
      <w:r>
        <w:rPr>
          <w:rFonts w:ascii="Times New Roman" w:hAnsi="Times New Roman"/>
          <w:b w:val="0"/>
          <w:i w:val="0"/>
          <w:color w:val="444444"/>
          <w:sz w:val="21"/>
        </w:rPr>
        <w:t xml:space="preserve"> (HMK m. 109/4 son cümle). Karşı taraf zamanaşımı def'i ileri sürmüşse bu hükmü dilekçenizde açıkça belirtiniz.</w:t>
      </w:r>
    </w:p>
    <w:p>
      <w:pPr>
        <w:spacing w:after="120"/>
        <w:jc w:val="left"/>
      </w:pPr>
      <w:r>
        <w:rPr>
          <w:rFonts w:ascii="Times New Roman" w:hAnsi="Times New Roman"/>
          <w:b w:val="0"/>
          <w:i w:val="0"/>
          <w:color w:val="444444"/>
          <w:sz w:val="21"/>
        </w:rPr>
        <w:t xml:space="preserve">5. </w:t>
      </w:r>
      <w:r>
        <w:rPr>
          <w:rFonts w:ascii="Times New Roman" w:hAnsi="Times New Roman"/>
          <w:b/>
          <w:i w:val="0"/>
          <w:color w:val="444444"/>
          <w:sz w:val="21"/>
        </w:rPr>
        <w:t>31.07.2026 tarihinden önce açılmış davalarda</w:t>
      </w:r>
      <w:r>
        <w:rPr>
          <w:rFonts w:ascii="Times New Roman" w:hAnsi="Times New Roman"/>
          <w:b w:val="0"/>
          <w:i w:val="0"/>
          <w:color w:val="444444"/>
          <w:sz w:val="21"/>
        </w:rPr>
        <w:t xml:space="preserve"> belirsiz alacak davasına ilişkin HMK m. 107 uygulanmaya devam eder (7589 s. K. geçici m. 1/10). Davanız bu tarihten önce açıldıysa mevcut usulünüz korunur.</w:t>
      </w:r>
    </w:p>
    <w:p>
      <w:pPr>
        <w:spacing w:after="120"/>
        <w:jc w:val="left"/>
      </w:pPr>
      <w:r>
        <w:rPr>
          <w:rFonts w:ascii="Times New Roman" w:hAnsi="Times New Roman"/>
          <w:b w:val="0"/>
          <w:i w:val="0"/>
          <w:color w:val="444444"/>
          <w:sz w:val="21"/>
        </w:rPr>
        <w:t xml:space="preserve">6. </w:t>
      </w:r>
      <w:r>
        <w:rPr>
          <w:rFonts w:ascii="Times New Roman" w:hAnsi="Times New Roman"/>
          <w:b/>
          <w:i w:val="0"/>
          <w:color w:val="444444"/>
          <w:sz w:val="21"/>
        </w:rPr>
        <w:t>Harç ve faiz:</w:t>
      </w:r>
      <w:r>
        <w:rPr>
          <w:rFonts w:ascii="Times New Roman" w:hAnsi="Times New Roman"/>
          <w:b w:val="0"/>
          <w:i w:val="0"/>
          <w:color w:val="444444"/>
          <w:sz w:val="21"/>
        </w:rPr>
        <w:t xml:space="preserve"> HMK m. 109/4'te artırılan kısmın harcı ve faiz başlangıcı açıkça düzenlenmemiştir; bu noktalar uygulamada netleşecektir. Artırılan kısım üzerinden eksik nispi harcın dilekçeyle birlikte yatırılması lehinizedir.</w:t>
      </w:r>
    </w:p>
    <w:p>
      <w:pPr>
        <w:spacing w:after="120"/>
        <w:jc w:val="center"/>
      </w:pPr>
      <w:r>
        <w:rPr>
          <w:rFonts w:ascii="Times New Roman" w:hAnsi="Times New Roman"/>
          <w:b/>
          <w:i w:val="0"/>
          <w:sz w:val="26"/>
        </w:rPr>
        <w:t>[ ● ] MAHKEMESİ SAYIN HÂKİMLİĞİNE</w:t>
      </w:r>
    </w:p>
    <w:p>
      <w:pPr>
        <w:spacing w:after="120"/>
        <w:ind w:left="2600" w:hanging="2600"/>
        <w:jc w:val="left"/>
      </w:pPr>
      <w:r>
        <w:rPr>
          <w:rFonts w:ascii="Times New Roman" w:hAnsi="Times New Roman"/>
          <w:b/>
          <w:i w:val="0"/>
          <w:sz w:val="24"/>
        </w:rPr>
        <w:t>DOSYA NO</w:t>
      </w:r>
      <w:r>
        <w:rPr>
          <w:rFonts w:ascii="Times New Roman" w:hAnsi="Times New Roman"/>
          <w:b w:val="0"/>
          <w:i w:val="0"/>
          <w:sz w:val="24"/>
        </w:rPr>
        <w:t xml:space="preserve">             : [ ● ] E.</w:t>
      </w:r>
    </w:p>
    <w:p>
      <w:pPr>
        <w:spacing w:after="0"/>
        <w:ind w:left="2600" w:hanging="2600"/>
        <w:jc w:val="left"/>
      </w:pPr>
      <w:r>
        <w:rPr>
          <w:rFonts w:ascii="Times New Roman" w:hAnsi="Times New Roman"/>
          <w:b/>
          <w:i w:val="0"/>
          <w:sz w:val="24"/>
        </w:rPr>
        <w:t>TALEPTE BULUNAN</w:t>
      </w:r>
    </w:p>
    <w:p>
      <w:pPr>
        <w:spacing w:after="120"/>
        <w:ind w:left="2600" w:hanging="2600"/>
        <w:jc w:val="left"/>
      </w:pPr>
      <w:r>
        <w:rPr>
          <w:rFonts w:ascii="Times New Roman" w:hAnsi="Times New Roman"/>
          <w:b/>
          <w:i w:val="0"/>
          <w:sz w:val="24"/>
        </w:rPr>
        <w:t>DAVACI</w:t>
      </w:r>
      <w:r>
        <w:rPr>
          <w:rFonts w:ascii="Times New Roman" w:hAnsi="Times New Roman"/>
          <w:b w:val="0"/>
          <w:i w:val="0"/>
          <w:sz w:val="24"/>
        </w:rPr>
        <w:t xml:space="preserve">                : [ Ad Soyad ] (T.C. Kimlik No: [ ● ])</w:t>
      </w:r>
    </w:p>
    <w:p>
      <w:pPr>
        <w:spacing w:after="120"/>
        <w:ind w:left="2600"/>
        <w:jc w:val="left"/>
      </w:pPr>
      <w:r>
        <w:rPr>
          <w:rFonts w:ascii="Times New Roman" w:hAnsi="Times New Roman"/>
          <w:b w:val="0"/>
          <w:i w:val="0"/>
          <w:sz w:val="24"/>
        </w:rPr>
        <w:t>[ Adres ]</w:t>
      </w:r>
    </w:p>
    <w:p>
      <w:pPr>
        <w:spacing w:after="120"/>
        <w:ind w:left="2600" w:hanging="2600"/>
        <w:jc w:val="left"/>
      </w:pPr>
      <w:r>
        <w:rPr>
          <w:rFonts w:ascii="Times New Roman" w:hAnsi="Times New Roman"/>
          <w:b/>
          <w:i w:val="0"/>
          <w:sz w:val="24"/>
        </w:rPr>
        <w:t>VEKİLİ</w:t>
      </w:r>
      <w:r>
        <w:rPr>
          <w:rFonts w:ascii="Times New Roman" w:hAnsi="Times New Roman"/>
          <w:b w:val="0"/>
          <w:i w:val="0"/>
          <w:sz w:val="24"/>
        </w:rPr>
        <w:t xml:space="preserve">                   : [ Varsa vekilin adı ve adresi ]</w:t>
      </w:r>
    </w:p>
    <w:p>
      <w:pPr>
        <w:spacing w:after="120"/>
        <w:ind w:left="2600" w:hanging="2600"/>
        <w:jc w:val="left"/>
      </w:pPr>
      <w:r>
        <w:rPr>
          <w:rFonts w:ascii="Times New Roman" w:hAnsi="Times New Roman"/>
          <w:b/>
          <w:i w:val="0"/>
          <w:sz w:val="24"/>
        </w:rPr>
        <w:t>DAVALI</w:t>
      </w:r>
      <w:r>
        <w:rPr>
          <w:rFonts w:ascii="Times New Roman" w:hAnsi="Times New Roman"/>
          <w:b w:val="0"/>
          <w:i w:val="0"/>
          <w:sz w:val="24"/>
        </w:rPr>
        <w:t xml:space="preserve">                  : [ Ad Soyad / Unvan ]</w:t>
      </w:r>
    </w:p>
    <w:p>
      <w:pPr>
        <w:spacing w:after="120"/>
        <w:ind w:left="2600"/>
        <w:jc w:val="left"/>
      </w:pPr>
      <w:r>
        <w:rPr>
          <w:rFonts w:ascii="Times New Roman" w:hAnsi="Times New Roman"/>
          <w:b w:val="0"/>
          <w:i w:val="0"/>
          <w:sz w:val="24"/>
        </w:rPr>
        <w:t>[ Adres ]</w:t>
      </w:r>
    </w:p>
    <w:p>
      <w:pPr>
        <w:spacing w:after="360"/>
        <w:ind w:left="2600" w:hanging="2600"/>
        <w:jc w:val="left"/>
      </w:pPr>
      <w:r>
        <w:rPr>
          <w:rFonts w:ascii="Times New Roman" w:hAnsi="Times New Roman"/>
          <w:b/>
          <w:i w:val="0"/>
          <w:sz w:val="24"/>
        </w:rPr>
        <w:t>KONU</w:t>
      </w:r>
      <w:r>
        <w:rPr>
          <w:rFonts w:ascii="Times New Roman" w:hAnsi="Times New Roman"/>
          <w:b w:val="0"/>
          <w:i w:val="0"/>
          <w:sz w:val="24"/>
        </w:rPr>
        <w:t xml:space="preserve">                     : HMK m. 109/4 uyarınca, bir defaya mahsus olmak üzere talep konusunun [ ● ] TL'den [ ● ] TL'ye artırılması talebimizden ibarettir.</w:t>
      </w:r>
    </w:p>
    <w:p>
      <w:pPr>
        <w:spacing w:after="160" w:before="280"/>
        <w:ind w:left="0"/>
        <w:jc w:val="left"/>
      </w:pPr>
      <w:r>
        <w:rPr>
          <w:rFonts w:ascii="Times New Roman" w:hAnsi="Times New Roman"/>
          <w:b/>
          <w:i w:val="0"/>
          <w:sz w:val="24"/>
        </w:rPr>
        <w:t>AÇIKLAMALAR</w:t>
      </w:r>
    </w:p>
    <w:p>
      <w:pPr>
        <w:spacing w:after="160"/>
        <w:ind w:left="0"/>
        <w:jc w:val="both"/>
      </w:pPr>
      <w:r>
        <w:rPr>
          <w:rFonts w:ascii="Times New Roman" w:hAnsi="Times New Roman"/>
          <w:b/>
          <w:i w:val="0"/>
          <w:sz w:val="24"/>
        </w:rPr>
        <w:t>1.</w:t>
      </w:r>
      <w:r>
        <w:rPr>
          <w:rFonts w:ascii="Times New Roman" w:hAnsi="Times New Roman"/>
          <w:b w:val="0"/>
          <w:i w:val="0"/>
          <w:sz w:val="24"/>
        </w:rPr>
        <w:t xml:space="preserve"> Sayın Mahkemenizin yukarıda esas numarası yazılı dosyasında görülmekte olan dava, alacağın tamamı bakımından o aşamada miktarı tam olarak belirlenemediğinden, </w:t>
      </w:r>
      <w:r>
        <w:rPr>
          <w:rFonts w:ascii="Times New Roman" w:hAnsi="Times New Roman"/>
          <w:b/>
          <w:i w:val="0"/>
          <w:sz w:val="24"/>
        </w:rPr>
        <w:t>kısmi dava</w:t>
      </w:r>
      <w:r>
        <w:rPr>
          <w:rFonts w:ascii="Times New Roman" w:hAnsi="Times New Roman"/>
          <w:b w:val="0"/>
          <w:i w:val="0"/>
          <w:sz w:val="24"/>
        </w:rPr>
        <w:t xml:space="preserve"> olarak [ ● ] TL üzerinden açılmıştır.</w:t>
      </w:r>
    </w:p>
    <w:p>
      <w:pPr>
        <w:spacing w:after="160"/>
        <w:ind w:left="0"/>
        <w:jc w:val="both"/>
      </w:pPr>
      <w:r>
        <w:rPr>
          <w:rFonts w:ascii="Times New Roman" w:hAnsi="Times New Roman"/>
          <w:b/>
          <w:i w:val="0"/>
          <w:sz w:val="24"/>
        </w:rPr>
        <w:t>2.</w:t>
      </w:r>
      <w:r>
        <w:rPr>
          <w:rFonts w:ascii="Times New Roman" w:hAnsi="Times New Roman"/>
          <w:b w:val="0"/>
          <w:i w:val="0"/>
          <w:sz w:val="24"/>
        </w:rPr>
        <w:t xml:space="preserve"> Yargılama sırasında alınan [ ● ] tarihli bilirkişi raporunda müvekkilin/tarafımızın alacağı toplam </w:t>
      </w:r>
      <w:r>
        <w:rPr>
          <w:rFonts w:ascii="Times New Roman" w:hAnsi="Times New Roman"/>
          <w:b/>
          <w:i w:val="0"/>
          <w:sz w:val="24"/>
        </w:rPr>
        <w:t>[ ● ] TL</w:t>
      </w:r>
      <w:r>
        <w:rPr>
          <w:rFonts w:ascii="Times New Roman" w:hAnsi="Times New Roman"/>
          <w:b w:val="0"/>
          <w:i w:val="0"/>
          <w:sz w:val="24"/>
        </w:rPr>
        <w:t xml:space="preserve"> olarak hesaplanmıştır. Anılan rapor tarafımıza [ ● ] tarihinde tebliğ edilmiş olup, alacağın miktarı ancak bu aşamada tam olarak belirlenebilmiştir.</w:t>
      </w:r>
    </w:p>
    <w:p>
      <w:pPr>
        <w:spacing w:after="160"/>
        <w:ind w:left="0"/>
        <w:jc w:val="both"/>
      </w:pPr>
      <w:r>
        <w:rPr>
          <w:rFonts w:ascii="Times New Roman" w:hAnsi="Times New Roman"/>
          <w:b/>
          <w:i w:val="0"/>
          <w:sz w:val="24"/>
        </w:rPr>
        <w:t>3.</w:t>
      </w:r>
      <w:r>
        <w:rPr>
          <w:rFonts w:ascii="Times New Roman" w:hAnsi="Times New Roman"/>
          <w:b w:val="0"/>
          <w:i w:val="0"/>
          <w:sz w:val="24"/>
        </w:rPr>
        <w:t xml:space="preserve"> 16/7/2026 tarihli ve 7589 sayılı Kanunun 20. maddesiyle Hukuk Muhakemeleri Kanununun 109. maddesine eklenen dördüncü fıkra uyarınca; </w:t>
      </w:r>
      <w:r>
        <w:rPr>
          <w:rFonts w:ascii="Times New Roman" w:hAnsi="Times New Roman"/>
          <w:b w:val="0"/>
          <w:i/>
          <w:sz w:val="24"/>
        </w:rPr>
        <w:t>“Alacağın sadece bir kısmının dava edildiği durumlarda talep konusu, aynı davada bir defaya mahsus olmak üzere iddianın genişletilmesi yasağına tabi olmaksızın tahkikatın sona ermesine kadar artırılabilir. Bu durumda zamanaşımı, artırılan kısım bakımından da dava tarihinden itibaren kesilmiş sayılır.”</w:t>
      </w:r>
    </w:p>
    <w:p>
      <w:pPr>
        <w:spacing w:after="160"/>
        <w:ind w:left="0"/>
        <w:jc w:val="both"/>
      </w:pPr>
      <w:r>
        <w:rPr>
          <w:rFonts w:ascii="Times New Roman" w:hAnsi="Times New Roman"/>
          <w:b/>
          <w:i w:val="0"/>
          <w:sz w:val="24"/>
        </w:rPr>
        <w:t>4.</w:t>
      </w:r>
      <w:r>
        <w:rPr>
          <w:rFonts w:ascii="Times New Roman" w:hAnsi="Times New Roman"/>
          <w:b w:val="0"/>
          <w:i w:val="0"/>
          <w:sz w:val="24"/>
        </w:rPr>
        <w:t xml:space="preserve"> İşbu dilekçe tarihi itibarıyla </w:t>
      </w:r>
      <w:r>
        <w:rPr>
          <w:rFonts w:ascii="Times New Roman" w:hAnsi="Times New Roman"/>
          <w:b/>
          <w:i w:val="0"/>
          <w:sz w:val="24"/>
        </w:rPr>
        <w:t>tahkikat henüz sona ermemiştir</w:t>
      </w:r>
      <w:r>
        <w:rPr>
          <w:rFonts w:ascii="Times New Roman" w:hAnsi="Times New Roman"/>
          <w:b w:val="0"/>
          <w:i w:val="0"/>
          <w:sz w:val="24"/>
        </w:rPr>
        <w:t xml:space="preserve"> ve anılan hüküm uyarınca tanınan talep artırım hakkı bu davada tarafımızca </w:t>
      </w:r>
      <w:r>
        <w:rPr>
          <w:rFonts w:ascii="Times New Roman" w:hAnsi="Times New Roman"/>
          <w:b/>
          <w:i w:val="0"/>
          <w:sz w:val="24"/>
        </w:rPr>
        <w:t>daha önce kullanılmamıştır</w:t>
      </w:r>
      <w:r>
        <w:rPr>
          <w:rFonts w:ascii="Times New Roman" w:hAnsi="Times New Roman"/>
          <w:b w:val="0"/>
          <w:i w:val="0"/>
          <w:sz w:val="24"/>
        </w:rPr>
        <w:t>. Bu itibarla artırım talebimiz süresinde ve usulüne uygundur.</w:t>
      </w:r>
    </w:p>
    <w:p>
      <w:pPr>
        <w:spacing w:after="160"/>
        <w:ind w:left="0"/>
        <w:jc w:val="both"/>
      </w:pPr>
      <w:r>
        <w:rPr>
          <w:rFonts w:ascii="Times New Roman" w:hAnsi="Times New Roman"/>
          <w:b/>
          <w:i w:val="0"/>
          <w:sz w:val="24"/>
        </w:rPr>
        <w:t>5.</w:t>
      </w:r>
      <w:r>
        <w:rPr>
          <w:rFonts w:ascii="Times New Roman" w:hAnsi="Times New Roman"/>
          <w:b w:val="0"/>
          <w:i w:val="0"/>
          <w:sz w:val="24"/>
        </w:rPr>
        <w:t xml:space="preserve"> Talebimiz, iddianın genişletilmesi yasağına tabi olmaksızın ileri sürülebildiğinden karşı tarafın muvafakatine bağlı değildir. Ayrıca artırılan kısım bakımından da zamanaşımı dava tarihinde kesilmiş sayılacağından, karşı tarafça ileri sürülen/sürülebilecek zamanaşımı def'i artırılan kısım yönünden sonuç doğurmayacaktır.</w:t>
      </w:r>
    </w:p>
    <w:p>
      <w:pPr>
        <w:spacing w:after="160"/>
        <w:ind w:left="0"/>
        <w:jc w:val="both"/>
      </w:pPr>
      <w:r>
        <w:rPr>
          <w:rFonts w:ascii="Times New Roman" w:hAnsi="Times New Roman"/>
          <w:b/>
          <w:i w:val="0"/>
          <w:sz w:val="24"/>
        </w:rPr>
        <w:t>6.</w:t>
      </w:r>
      <w:r>
        <w:rPr>
          <w:rFonts w:ascii="Times New Roman" w:hAnsi="Times New Roman"/>
          <w:b w:val="0"/>
          <w:i w:val="0"/>
          <w:sz w:val="24"/>
        </w:rPr>
        <w:t xml:space="preserve"> Artırılan kısma ilişkin eksik nispi karar ve ilam harcı, işbu dilekçe ile birlikte yatırılmış olup makbuzu ektedir. [ Harç yatırılmamışsa bu cümleyi siliniz; mahkemenin harç tamamlama muhtırasını bekleyiniz. ]</w:t>
      </w:r>
    </w:p>
    <w:p>
      <w:pPr>
        <w:spacing w:after="120" w:before="280"/>
        <w:ind w:left="2600" w:hanging="2600"/>
        <w:jc w:val="left"/>
      </w:pPr>
      <w:r>
        <w:rPr>
          <w:rFonts w:ascii="Times New Roman" w:hAnsi="Times New Roman"/>
          <w:b/>
          <w:i w:val="0"/>
          <w:sz w:val="24"/>
        </w:rPr>
        <w:t>HUKUKİ NEDENLER</w:t>
      </w:r>
      <w:r>
        <w:rPr>
          <w:rFonts w:ascii="Times New Roman" w:hAnsi="Times New Roman"/>
          <w:b w:val="0"/>
          <w:i w:val="0"/>
          <w:sz w:val="24"/>
        </w:rPr>
        <w:t xml:space="preserve"> : 6100 sayılı HMK m. 109, m. 141 ve ilgili hükümleri, 7589 sayılı Kanun, 6098 sayılı TBK, 492 sayılı Harçlar Kanunu ve ilgili sair mevzuat.</w:t>
      </w:r>
    </w:p>
    <w:p>
      <w:pPr>
        <w:spacing w:after="360"/>
        <w:ind w:left="2600" w:hanging="2600"/>
        <w:jc w:val="left"/>
      </w:pPr>
      <w:r>
        <w:rPr>
          <w:rFonts w:ascii="Times New Roman" w:hAnsi="Times New Roman"/>
          <w:b/>
          <w:i w:val="0"/>
          <w:sz w:val="24"/>
        </w:rPr>
        <w:t>DELİLLER</w:t>
      </w:r>
      <w:r>
        <w:rPr>
          <w:rFonts w:ascii="Times New Roman" w:hAnsi="Times New Roman"/>
          <w:b w:val="0"/>
          <w:i w:val="0"/>
          <w:sz w:val="24"/>
        </w:rPr>
        <w:t xml:space="preserve">               : Sayın Mahkemenizin [ ● ] E. sayılı dosyası, [ ● ] tarihli bilirkişi raporu, harç makbuzu ve sair yasal deliller.</w:t>
      </w:r>
    </w:p>
    <w:p>
      <w:pPr>
        <w:spacing w:after="160" w:before="280"/>
        <w:ind w:left="0"/>
        <w:jc w:val="left"/>
      </w:pPr>
      <w:r>
        <w:rPr>
          <w:rFonts w:ascii="Times New Roman" w:hAnsi="Times New Roman"/>
          <w:b/>
          <w:i w:val="0"/>
          <w:sz w:val="24"/>
        </w:rPr>
        <w:t>SONUÇ VE İSTEM</w:t>
      </w:r>
    </w:p>
    <w:p>
      <w:pPr>
        <w:spacing w:after="160"/>
        <w:ind w:left="0"/>
        <w:jc w:val="both"/>
      </w:pPr>
      <w:r>
        <w:rPr>
          <w:rFonts w:ascii="Times New Roman" w:hAnsi="Times New Roman"/>
          <w:b w:val="0"/>
          <w:i w:val="0"/>
          <w:sz w:val="24"/>
        </w:rPr>
        <w:t>Yukarıda açıklanan nedenlerle;</w:t>
      </w:r>
    </w:p>
    <w:p>
      <w:pPr>
        <w:spacing w:after="160"/>
        <w:ind w:left="0"/>
        <w:jc w:val="both"/>
      </w:pPr>
      <w:r>
        <w:rPr>
          <w:rFonts w:ascii="Times New Roman" w:hAnsi="Times New Roman"/>
          <w:b/>
          <w:i w:val="0"/>
          <w:sz w:val="24"/>
        </w:rPr>
        <w:t>1.</w:t>
      </w:r>
      <w:r>
        <w:rPr>
          <w:rFonts w:ascii="Times New Roman" w:hAnsi="Times New Roman"/>
          <w:b w:val="0"/>
          <w:i w:val="0"/>
          <w:sz w:val="24"/>
        </w:rPr>
        <w:t xml:space="preserve"> HMK m. 109/4 uyarınca, bir defaya mahsus olmak üzere </w:t>
      </w:r>
      <w:r>
        <w:rPr>
          <w:rFonts w:ascii="Times New Roman" w:hAnsi="Times New Roman"/>
          <w:b/>
          <w:i w:val="0"/>
          <w:sz w:val="24"/>
        </w:rPr>
        <w:t>talep konusunun [ ● ] TL'den [ ● ] TL'ye artırılmasına</w:t>
      </w:r>
      <w:r>
        <w:rPr>
          <w:rFonts w:ascii="Times New Roman" w:hAnsi="Times New Roman"/>
          <w:b w:val="0"/>
          <w:i w:val="0"/>
          <w:sz w:val="24"/>
        </w:rPr>
        <w:t>,</w:t>
      </w:r>
    </w:p>
    <w:p>
      <w:pPr>
        <w:spacing w:after="160"/>
        <w:ind w:left="0"/>
        <w:jc w:val="both"/>
      </w:pPr>
      <w:r>
        <w:rPr>
          <w:rFonts w:ascii="Times New Roman" w:hAnsi="Times New Roman"/>
          <w:b/>
          <w:i w:val="0"/>
          <w:sz w:val="24"/>
        </w:rPr>
        <w:t>2.</w:t>
      </w:r>
      <w:r>
        <w:rPr>
          <w:rFonts w:ascii="Times New Roman" w:hAnsi="Times New Roman"/>
          <w:b w:val="0"/>
          <w:i w:val="0"/>
          <w:sz w:val="24"/>
        </w:rPr>
        <w:t xml:space="preserve"> Artırılan kısım bakımından da zamanaşımının dava tarihinde kesilmiş sayıldığının gözetilmesine,</w:t>
      </w:r>
    </w:p>
    <w:p>
      <w:pPr>
        <w:spacing w:after="160"/>
        <w:ind w:left="0"/>
        <w:jc w:val="both"/>
      </w:pPr>
      <w:r>
        <w:rPr>
          <w:rFonts w:ascii="Times New Roman" w:hAnsi="Times New Roman"/>
          <w:b/>
          <w:i w:val="0"/>
          <w:sz w:val="24"/>
        </w:rPr>
        <w:t>3.</w:t>
      </w:r>
      <w:r>
        <w:rPr>
          <w:rFonts w:ascii="Times New Roman" w:hAnsi="Times New Roman"/>
          <w:b w:val="0"/>
          <w:i w:val="0"/>
          <w:sz w:val="24"/>
        </w:rPr>
        <w:t xml:space="preserve"> Artırılan kısım yönünden de [ ● ] tarihinden itibaren işleyecek kanuni faize hükmedilmesine,</w:t>
      </w:r>
    </w:p>
    <w:p>
      <w:pPr>
        <w:spacing w:after="160"/>
        <w:ind w:left="0"/>
        <w:jc w:val="both"/>
      </w:pPr>
      <w:r>
        <w:rPr>
          <w:rFonts w:ascii="Times New Roman" w:hAnsi="Times New Roman"/>
          <w:b/>
          <w:i w:val="0"/>
          <w:sz w:val="24"/>
        </w:rPr>
        <w:t>4.</w:t>
      </w:r>
      <w:r>
        <w:rPr>
          <w:rFonts w:ascii="Times New Roman" w:hAnsi="Times New Roman"/>
          <w:b w:val="0"/>
          <w:i w:val="0"/>
          <w:sz w:val="24"/>
        </w:rPr>
        <w:t xml:space="preserve"> Yargılama giderleri ile vekâlet ücretinin karşı tarafa yükletilmesine,</w:t>
      </w:r>
    </w:p>
    <w:p>
      <w:pPr>
        <w:spacing w:after="480"/>
        <w:ind w:left="0"/>
        <w:jc w:val="both"/>
      </w:pPr>
      <w:r>
        <w:rPr>
          <w:rFonts w:ascii="Times New Roman" w:hAnsi="Times New Roman"/>
          <w:b w:val="0"/>
          <w:i w:val="0"/>
          <w:sz w:val="24"/>
        </w:rPr>
        <w:t>karar verilmesini saygıyla arz ve talep ederim. …… / …… / 20……</w:t>
      </w:r>
    </w:p>
    <w:p>
      <w:pPr>
        <w:spacing w:after="40"/>
        <w:jc w:val="right"/>
      </w:pPr>
      <w:r>
        <w:rPr>
          <w:rFonts w:ascii="Times New Roman" w:hAnsi="Times New Roman"/>
          <w:b/>
          <w:i w:val="0"/>
          <w:sz w:val="24"/>
        </w:rPr>
        <w:t>Davacı [ / Vekili ]</w:t>
      </w:r>
    </w:p>
    <w:p>
      <w:pPr>
        <w:spacing w:after="360"/>
        <w:jc w:val="right"/>
      </w:pPr>
      <w:r>
        <w:rPr>
          <w:rFonts w:ascii="Times New Roman" w:hAnsi="Times New Roman"/>
          <w:b/>
          <w:i w:val="0"/>
          <w:sz w:val="24"/>
        </w:rPr>
        <w:t>[ Ad Soyad ]</w:t>
      </w:r>
    </w:p>
    <w:p>
      <w:pPr>
        <w:spacing w:after="120"/>
        <w:ind w:left="0"/>
        <w:jc w:val="left"/>
      </w:pPr>
      <w:r>
        <w:rPr>
          <w:rFonts w:ascii="Times New Roman" w:hAnsi="Times New Roman"/>
          <w:b/>
          <w:i w:val="0"/>
          <w:sz w:val="20"/>
        </w:rPr>
        <w:t>EKLER:</w:t>
      </w:r>
      <w:r>
        <w:rPr>
          <w:rFonts w:ascii="Times New Roman" w:hAnsi="Times New Roman"/>
          <w:b w:val="0"/>
          <w:i w:val="0"/>
          <w:sz w:val="20"/>
        </w:rPr>
        <w:t xml:space="preserve"> 1) Harç makbuzu · 2) [ ● ]</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