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center"/>
      </w:pPr>
      <w:r>
        <w:rPr>
          <w:rFonts w:ascii="Times New Roman" w:hAnsi="Times New Roman"/>
          <w:b/>
          <w:i w:val="0"/>
          <w:sz w:val="26"/>
        </w:rPr>
        <w:t>HESAP / KART VERME İLE SINIRLI İŞTİRAK — CEZADA YARI ORANINDA İNDİRİM TALEBİ ÖRNEĞİ</w:t>
      </w:r>
      <w:r>
        <w:br/>
      </w:r>
      <w:r>
        <w:rPr>
          <w:rFonts w:ascii="Times New Roman" w:hAnsi="Times New Roman"/>
          <w:b/>
          <w:i w:val="0"/>
          <w:sz w:val="26"/>
        </w:rPr>
        <w:t>(TCK m. 158/4 — 7589 s. K. m. 13 · yargılaması devam eden dosyalar için)</w:t>
      </w:r>
    </w:p>
    <w:p>
      <w:pPr>
        <w:spacing w:after="120"/>
        <w:jc w:val="left"/>
      </w:pPr>
      <w:r>
        <w:rPr>
          <w:rFonts w:ascii="Times New Roman" w:hAnsi="Times New Roman"/>
          <w:b/>
          <w:i w:val="0"/>
          <w:color w:val="444444"/>
          <w:sz w:val="21"/>
        </w:rPr>
        <w:t>KULLANIM NOTU — Dilekçeyi mahkemeye vermeden önce bu kutuyu siliniz.</w:t>
      </w:r>
    </w:p>
    <w:p>
      <w:pPr>
        <w:spacing w:after="120"/>
        <w:jc w:val="left"/>
      </w:pPr>
      <w:r>
        <w:rPr>
          <w:rFonts w:ascii="Times New Roman" w:hAnsi="Times New Roman"/>
          <w:b/>
          <w:i w:val="0"/>
          <w:color w:val="444444"/>
          <w:sz w:val="21"/>
        </w:rPr>
        <w:t>Bu dilekçe, hakkınızdaki yargılama HÂLEN DEVAM EDERKEN kullanılır.</w:t>
      </w:r>
      <w:r>
        <w:rPr>
          <w:rFonts w:ascii="Times New Roman" w:hAnsi="Times New Roman"/>
          <w:b w:val="0"/>
          <w:i w:val="0"/>
          <w:color w:val="444444"/>
          <w:sz w:val="21"/>
        </w:rPr>
        <w:t xml:space="preserve"> İki durumu kapsar:</w:t>
      </w:r>
    </w:p>
    <w:p>
      <w:pPr>
        <w:spacing w:after="120"/>
        <w:jc w:val="left"/>
      </w:pPr>
      <w:r>
        <w:rPr>
          <w:rFonts w:ascii="Times New Roman" w:hAnsi="Times New Roman"/>
          <w:b w:val="0"/>
          <w:i w:val="0"/>
          <w:color w:val="444444"/>
          <w:sz w:val="21"/>
        </w:rPr>
        <w:t>a) Hakkınızda TCK m. 157 veya 158 uyarınca açılmış dava ilk derece mahkemesinde görülmekteyse,</w:t>
      </w:r>
    </w:p>
    <w:p>
      <w:pPr>
        <w:spacing w:after="120"/>
        <w:jc w:val="left"/>
      </w:pPr>
      <w:r>
        <w:rPr>
          <w:rFonts w:ascii="Times New Roman" w:hAnsi="Times New Roman"/>
          <w:b w:val="0"/>
          <w:i w:val="0"/>
          <w:color w:val="444444"/>
          <w:sz w:val="21"/>
        </w:rPr>
        <w:t xml:space="preserve">b) Dosyanız kanun yolundayken 7589 s. K. geçici m. 1/6 uyarınca </w:t>
      </w:r>
      <w:r>
        <w:rPr>
          <w:rFonts w:ascii="Times New Roman" w:hAnsi="Times New Roman"/>
          <w:b/>
          <w:i w:val="0"/>
          <w:color w:val="444444"/>
          <w:sz w:val="21"/>
        </w:rPr>
        <w:t>bozulup ilk derece mahkemesine gönderildiyse.</w:t>
      </w:r>
    </w:p>
    <w:p>
      <w:pPr>
        <w:spacing w:after="120"/>
        <w:jc w:val="left"/>
      </w:pPr>
      <w:r>
        <w:rPr>
          <w:rFonts w:ascii="Times New Roman" w:hAnsi="Times New Roman"/>
          <w:b/>
          <w:i w:val="0"/>
          <w:color w:val="444444"/>
          <w:sz w:val="21"/>
        </w:rPr>
        <w:t>Hükmünüz kesinleşmişse bu dilekçeyi kullanmayınız.</w:t>
      </w:r>
      <w:r>
        <w:rPr>
          <w:rFonts w:ascii="Times New Roman" w:hAnsi="Times New Roman"/>
          <w:b w:val="0"/>
          <w:i w:val="0"/>
          <w:color w:val="444444"/>
          <w:sz w:val="21"/>
        </w:rPr>
        <w:t xml:space="preserve"> O hâlde iki ayrı yol vardır: (i) TCK m. 7/2 uyarınca uyarlama talebi (bkz. «Kesinleşmiş Hükümde Uyarlama Talebi» örneği), (ii) infaz aşamasındaysanız ve hakkınızda TCK m. 168 uygulanmamışsa zararı giderme yoluyla etkin pişmanlık (bkz. «Etkin Pişmanlık Talebi» örneği).</w:t>
      </w:r>
    </w:p>
    <w:p>
      <w:pPr>
        <w:spacing w:after="120"/>
        <w:jc w:val="left"/>
      </w:pPr>
      <w:r>
        <w:rPr>
          <w:rFonts w:ascii="Times New Roman" w:hAnsi="Times New Roman"/>
          <w:b/>
          <w:i w:val="0"/>
          <w:color w:val="444444"/>
          <w:sz w:val="21"/>
        </w:rPr>
        <w:t>Henüz dava açılmadıysa</w:t>
      </w:r>
      <w:r>
        <w:rPr>
          <w:rFonts w:ascii="Times New Roman" w:hAnsi="Times New Roman"/>
          <w:b w:val="0"/>
          <w:i w:val="0"/>
          <w:color w:val="444444"/>
          <w:sz w:val="21"/>
        </w:rPr>
        <w:t xml:space="preserve"> (soruşturma aşamasındaysanız, yani hakkınızda iddianame düzenlenmemişse) bu dilekçeyi </w:t>
      </w:r>
      <w:r>
        <w:rPr>
          <w:rFonts w:ascii="Times New Roman" w:hAnsi="Times New Roman"/>
          <w:b/>
          <w:i w:val="0"/>
          <w:color w:val="444444"/>
          <w:sz w:val="21"/>
        </w:rPr>
        <w:t>Cumhuriyet Başsavcılığına</w:t>
      </w:r>
      <w:r>
        <w:rPr>
          <w:rFonts w:ascii="Times New Roman" w:hAnsi="Times New Roman"/>
          <w:b w:val="0"/>
          <w:i w:val="0"/>
          <w:color w:val="444444"/>
          <w:sz w:val="21"/>
        </w:rPr>
        <w:t xml:space="preserve"> hitaben veriniz. Bu durumda başlıktaki mahkeme satırını "[ ● ] CUMHURİYET BAŞSAVCILIĞINA", "DOSYA NO" satırını "SORUŞTURMA NO", "SANIK" satırını "ŞÜPHELİ", "MÜDAFİİ" satırını da aynen bırakarak doldurunuz; SONUÇ VE İSTEM bölümünde iddianame düzenlenirken fiilinizin TCK m. 158/4 kapsamında değerlendirilmesini talep ediniz.</w:t>
      </w:r>
    </w:p>
    <w:p>
      <w:pPr>
        <w:spacing w:after="120"/>
        <w:jc w:val="left"/>
      </w:pPr>
      <w:r>
        <w:rPr>
          <w:rFonts w:ascii="Times New Roman" w:hAnsi="Times New Roman"/>
          <w:b/>
          <w:i w:val="0"/>
          <w:color w:val="444444"/>
          <w:sz w:val="21"/>
        </w:rPr>
        <w:t>1. İndirimin tek şartı, katkınızın "sınırlı" kalmasıdır.</w:t>
      </w:r>
      <w:r>
        <w:rPr>
          <w:rFonts w:ascii="Times New Roman" w:hAnsi="Times New Roman"/>
          <w:b w:val="0"/>
          <w:i w:val="0"/>
          <w:color w:val="444444"/>
          <w:sz w:val="21"/>
        </w:rPr>
        <w:t xml:space="preserve"> TCK m. 158/4, iştirakin </w:t>
      </w:r>
      <w:r>
        <w:rPr>
          <w:rFonts w:ascii="Times New Roman" w:hAnsi="Times New Roman"/>
          <w:b/>
          <w:i w:val="0"/>
          <w:color w:val="444444"/>
          <w:sz w:val="21"/>
        </w:rPr>
        <w:t>yalnızca</w:t>
      </w:r>
      <w:r>
        <w:rPr>
          <w:rFonts w:ascii="Times New Roman" w:hAnsi="Times New Roman"/>
          <w:b w:val="0"/>
          <w:i w:val="0"/>
          <w:color w:val="444444"/>
          <w:sz w:val="21"/>
        </w:rPr>
        <w:t xml:space="preserve"> ödeme aracını veya hesabın kullanılmasını sağlayan zorunlu bilgi ve araçları başkasına vermek fiilinden ibaret olmasını arar. Mağdurla görüşme, kendini banka/kamu görevlisi olarak tanıtma, parayı çekip teslim etme, başkalarını hesap vermeye ikna etme veya organizasyonu yönlendirme gibi bir eyleminiz varsa katkı "sınırlı" sayılmaz ve indirim uygulanmaz.</w:t>
      </w:r>
    </w:p>
    <w:p>
      <w:pPr>
        <w:spacing w:after="120"/>
        <w:jc w:val="left"/>
      </w:pPr>
      <w:r>
        <w:rPr>
          <w:rFonts w:ascii="Times New Roman" w:hAnsi="Times New Roman"/>
          <w:b/>
          <w:i w:val="0"/>
          <w:color w:val="444444"/>
          <w:sz w:val="21"/>
        </w:rPr>
        <w:t>2. Savunmanın ağırlık merkezi delillerdir.</w:t>
      </w:r>
      <w:r>
        <w:rPr>
          <w:rFonts w:ascii="Times New Roman" w:hAnsi="Times New Roman"/>
          <w:b w:val="0"/>
          <w:i w:val="0"/>
          <w:color w:val="444444"/>
          <w:sz w:val="21"/>
        </w:rPr>
        <w:t xml:space="preserve"> Fiilin sınırını gösteren HTS (iletişim) kayıtları, mesajlaşma içerikleri, banka hesap hareketleri ve mağdur beyanları dilekçede somut olarak gösterilmelidir. Soyut "sadece hesabımı verdim" beyanı tek başına yeterli olmayabilir.</w:t>
      </w:r>
    </w:p>
    <w:p>
      <w:pPr>
        <w:spacing w:after="120"/>
        <w:jc w:val="left"/>
      </w:pPr>
      <w:r>
        <w:rPr>
          <w:rFonts w:ascii="Times New Roman" w:hAnsi="Times New Roman"/>
          <w:b/>
          <w:i w:val="0"/>
          <w:color w:val="444444"/>
          <w:sz w:val="21"/>
        </w:rPr>
        <w:t>3. Artırım hükmü ayrıca değerlendirilir.</w:t>
      </w:r>
      <w:r>
        <w:rPr>
          <w:rFonts w:ascii="Times New Roman" w:hAnsi="Times New Roman"/>
          <w:b w:val="0"/>
          <w:i w:val="0"/>
          <w:color w:val="444444"/>
          <w:sz w:val="21"/>
        </w:rPr>
        <w:t xml:space="preserve"> TCK m. 158/3 yürürlüktedir: suçun üç veya daha fazla kişi tarafından birlikte işlenmesi hâlinde ceza yarı oranında, örgüt faaliyeti çerçevesinde işlenmesi hâlinde bir kat artırılır. Bu nedenle indirim uygulansa dahi sonuç ceza dosyanın yapısına göre belirlenir.</w:t>
      </w:r>
    </w:p>
    <w:p>
      <w:pPr>
        <w:spacing w:after="120"/>
        <w:jc w:val="left"/>
      </w:pPr>
      <w:r>
        <w:rPr>
          <w:rFonts w:ascii="Times New Roman" w:hAnsi="Times New Roman"/>
          <w:b/>
          <w:i w:val="0"/>
          <w:color w:val="444444"/>
          <w:sz w:val="21"/>
        </w:rPr>
        <w:t>4. Bu fıkra 16/7/2026 tarihlidir</w:t>
      </w:r>
      <w:r>
        <w:rPr>
          <w:rFonts w:ascii="Times New Roman" w:hAnsi="Times New Roman"/>
          <w:b w:val="0"/>
          <w:i w:val="0"/>
          <w:color w:val="444444"/>
          <w:sz w:val="21"/>
        </w:rPr>
        <w:t xml:space="preserve"> (7589 s. K. m. 13, RG 31.07.2026). Kapsamına ilişkin Yargıtay içtihadı henüz oluşmamıştır; "sınırlı olma" ölçütünün nasıl uygulanacağı önümüzdeki dönemde netleşecektir.</w:t>
      </w:r>
    </w:p>
    <w:p>
      <w:pPr>
        <w:spacing w:after="120"/>
        <w:jc w:val="left"/>
      </w:pPr>
      <w:r>
        <w:rPr>
          <w:rFonts w:ascii="Times New Roman" w:hAnsi="Times New Roman"/>
          <w:b/>
          <w:i w:val="0"/>
          <w:color w:val="444444"/>
          <w:sz w:val="21"/>
        </w:rPr>
        <w:t>5. Yardım etme indirimi ayrıca değerlendirilir.</w:t>
      </w:r>
      <w:r>
        <w:rPr>
          <w:rFonts w:ascii="Times New Roman" w:hAnsi="Times New Roman"/>
          <w:b w:val="0"/>
          <w:i w:val="0"/>
          <w:color w:val="444444"/>
          <w:sz w:val="21"/>
        </w:rPr>
        <w:t xml:space="preserve"> Hesap veya kart veren kişi çoğu dosyada TCK m. 39 uyarınca </w:t>
      </w:r>
      <w:r>
        <w:rPr>
          <w:rFonts w:ascii="Times New Roman" w:hAnsi="Times New Roman"/>
          <w:b/>
          <w:i w:val="0"/>
          <w:color w:val="444444"/>
          <w:sz w:val="21"/>
        </w:rPr>
        <w:t>yardım eden</w:t>
      </w:r>
      <w:r>
        <w:rPr>
          <w:rFonts w:ascii="Times New Roman" w:hAnsi="Times New Roman"/>
          <w:b w:val="0"/>
          <w:i w:val="0"/>
          <w:color w:val="444444"/>
          <w:sz w:val="21"/>
        </w:rPr>
        <w:t xml:space="preserve"> olarak sorumlu tutulur ve bu da ayrı bir indirim sebebidir. TCK m. 158/4 ise "verilecek ceza"nın yarı oranında indirilmesini öngörür. İki indirimin birlikte nasıl uygulanacağı konusunda henüz içtihat bulunmadığından, dilekçede her ikisi de </w:t>
      </w:r>
      <w:r>
        <w:rPr>
          <w:rFonts w:ascii="Times New Roman" w:hAnsi="Times New Roman"/>
          <w:b/>
          <w:i w:val="0"/>
          <w:color w:val="444444"/>
          <w:sz w:val="21"/>
        </w:rPr>
        <w:t>ayrı ayrı</w:t>
      </w:r>
      <w:r>
        <w:rPr>
          <w:rFonts w:ascii="Times New Roman" w:hAnsi="Times New Roman"/>
          <w:b w:val="0"/>
          <w:i w:val="0"/>
          <w:color w:val="444444"/>
          <w:sz w:val="21"/>
        </w:rPr>
        <w:t xml:space="preserve"> talep edilmiştir.</w:t>
      </w:r>
    </w:p>
    <w:p>
      <w:pPr>
        <w:spacing w:after="120"/>
        <w:jc w:val="left"/>
      </w:pPr>
      <w:r>
        <w:rPr>
          <w:rFonts w:ascii="Times New Roman" w:hAnsi="Times New Roman"/>
          <w:b w:val="0"/>
          <w:i w:val="0"/>
          <w:color w:val="444444"/>
          <w:sz w:val="21"/>
        </w:rPr>
        <w:t xml:space="preserve">6. Talep, esas hakkındaki savunmanızla birlikte veya ayrı bir dilekçeyle sunulabilir. Hesabınız iradeniz dışında ya da kimlik bilgileriniz çalınarak kullanılmışsa sorun indirim değil, </w:t>
      </w:r>
      <w:r>
        <w:rPr>
          <w:rFonts w:ascii="Times New Roman" w:hAnsi="Times New Roman"/>
          <w:b/>
          <w:i w:val="0"/>
          <w:color w:val="444444"/>
          <w:sz w:val="21"/>
        </w:rPr>
        <w:t>suçun manevi unsurunun hiç oluşmamasıdır</w:t>
      </w:r>
      <w:r>
        <w:rPr>
          <w:rFonts w:ascii="Times New Roman" w:hAnsi="Times New Roman"/>
          <w:b w:val="0"/>
          <w:i w:val="0"/>
          <w:color w:val="444444"/>
          <w:sz w:val="21"/>
        </w:rPr>
        <w:t>; bu hâlde beraat talebiyle savunma yapılmalıdır.</w:t>
      </w:r>
    </w:p>
    <w:p>
      <w:pPr>
        <w:spacing w:after="120"/>
        <w:jc w:val="center"/>
      </w:pPr>
      <w:r>
        <w:rPr>
          <w:rFonts w:ascii="Times New Roman" w:hAnsi="Times New Roman"/>
          <w:b/>
          <w:i w:val="0"/>
          <w:sz w:val="26"/>
        </w:rPr>
        <w:t>[ ● ] MAHKEMESİ SAYIN BAŞKANLIĞINA / HÂKİMLİĞİNE</w:t>
      </w:r>
    </w:p>
    <w:p>
      <w:pPr>
        <w:spacing w:after="120"/>
        <w:ind w:left="2600" w:hanging="2600"/>
        <w:jc w:val="left"/>
      </w:pPr>
      <w:r>
        <w:rPr>
          <w:rFonts w:ascii="Times New Roman" w:hAnsi="Times New Roman"/>
          <w:b/>
          <w:i w:val="0"/>
          <w:sz w:val="24"/>
        </w:rPr>
        <w:t>DOSYA NO</w:t>
      </w:r>
      <w:r>
        <w:rPr>
          <w:rFonts w:ascii="Times New Roman" w:hAnsi="Times New Roman"/>
          <w:b w:val="0"/>
          <w:i w:val="0"/>
          <w:sz w:val="24"/>
        </w:rPr>
        <w:t xml:space="preserve">             : [ ● ] E.</w:t>
      </w:r>
    </w:p>
    <w:p>
      <w:pPr>
        <w:spacing w:after="120"/>
        <w:ind w:left="2600" w:hanging="2600"/>
        <w:jc w:val="left"/>
      </w:pPr>
      <w:r>
        <w:rPr>
          <w:rFonts w:ascii="Times New Roman" w:hAnsi="Times New Roman"/>
          <w:b/>
          <w:i w:val="0"/>
          <w:sz w:val="24"/>
        </w:rPr>
        <w:t>SANIK</w:t>
      </w:r>
      <w:r>
        <w:rPr>
          <w:rFonts w:ascii="Times New Roman" w:hAnsi="Times New Roman"/>
          <w:b w:val="0"/>
          <w:i w:val="0"/>
          <w:sz w:val="24"/>
        </w:rPr>
        <w:t xml:space="preserve">                  : [ Ad Soyad ] (T.C. Kimlik No: [ ● ])</w:t>
      </w:r>
    </w:p>
    <w:p>
      <w:pPr>
        <w:spacing w:after="120"/>
        <w:ind w:left="2600"/>
        <w:jc w:val="left"/>
      </w:pPr>
      <w:r>
        <w:rPr>
          <w:rFonts w:ascii="Times New Roman" w:hAnsi="Times New Roman"/>
          <w:b w:val="0"/>
          <w:i w:val="0"/>
          <w:sz w:val="24"/>
        </w:rPr>
        <w:t>[ Adres ]</w:t>
      </w:r>
    </w:p>
    <w:p>
      <w:pPr>
        <w:spacing w:after="120"/>
        <w:ind w:left="2600" w:hanging="2600"/>
        <w:jc w:val="left"/>
      </w:pPr>
      <w:r>
        <w:rPr>
          <w:rFonts w:ascii="Times New Roman" w:hAnsi="Times New Roman"/>
          <w:b/>
          <w:i w:val="0"/>
          <w:sz w:val="24"/>
        </w:rPr>
        <w:t>MÜDAFİİ</w:t>
      </w:r>
      <w:r>
        <w:rPr>
          <w:rFonts w:ascii="Times New Roman" w:hAnsi="Times New Roman"/>
          <w:b w:val="0"/>
          <w:i w:val="0"/>
          <w:sz w:val="24"/>
        </w:rPr>
        <w:t xml:space="preserve">              : [ Varsa müdafiin adı ve adresi ]</w:t>
      </w:r>
    </w:p>
    <w:p>
      <w:pPr>
        <w:spacing w:after="360"/>
        <w:ind w:left="2600" w:hanging="2600"/>
        <w:jc w:val="left"/>
      </w:pPr>
      <w:r>
        <w:rPr>
          <w:rFonts w:ascii="Times New Roman" w:hAnsi="Times New Roman"/>
          <w:b/>
          <w:i w:val="0"/>
          <w:sz w:val="24"/>
        </w:rPr>
        <w:t>KONU</w:t>
      </w:r>
      <w:r>
        <w:rPr>
          <w:rFonts w:ascii="Times New Roman" w:hAnsi="Times New Roman"/>
          <w:b w:val="0"/>
          <w:i w:val="0"/>
          <w:sz w:val="24"/>
        </w:rPr>
        <w:t xml:space="preserve">                     : Suça iştirakimin TCK m. 158/4'te tanımlanan fiille sınırlı olduğunun tespiti ile hakkımda anılan fıkra uyarınca cezada yarı oranında indirim uygulanması talebimden ibarettir.</w:t>
      </w:r>
    </w:p>
    <w:p>
      <w:pPr>
        <w:spacing w:after="160" w:before="280"/>
        <w:ind w:left="0"/>
        <w:jc w:val="left"/>
      </w:pPr>
      <w:r>
        <w:rPr>
          <w:rFonts w:ascii="Times New Roman" w:hAnsi="Times New Roman"/>
          <w:b/>
          <w:i w:val="0"/>
          <w:sz w:val="24"/>
        </w:rPr>
        <w:t>AÇIKLAMALAR</w:t>
      </w:r>
    </w:p>
    <w:p>
      <w:pPr>
        <w:spacing w:after="160"/>
        <w:ind w:left="0"/>
        <w:jc w:val="both"/>
      </w:pPr>
      <w:r>
        <w:rPr>
          <w:rFonts w:ascii="Times New Roman" w:hAnsi="Times New Roman"/>
          <w:b/>
          <w:i w:val="0"/>
          <w:sz w:val="24"/>
        </w:rPr>
        <w:t>1.</w:t>
      </w:r>
      <w:r>
        <w:rPr>
          <w:rFonts w:ascii="Times New Roman" w:hAnsi="Times New Roman"/>
          <w:b w:val="0"/>
          <w:i w:val="0"/>
          <w:sz w:val="24"/>
        </w:rPr>
        <w:t xml:space="preserve"> Sayın Mahkemenizin yukarıda numarası yazılı dosyasında hakkımda TCK m. [ 157 / 158 ] uyarınca kamu davası açılmış olup yargılama devam etmektedir. [ Dosyanız 7589 s. K. geçici m. 1/6 uyarınca bozularak gönderilmişse: "Dosya, [ ● ] Bölge Adliye Mahkemesi [ ● ] Ceza Dairesinin [ ● ] tarihli kararıyla bozularak Sayın Mahkemenize gönderilmiştir." ]</w:t>
      </w:r>
    </w:p>
    <w:p>
      <w:pPr>
        <w:spacing w:after="160"/>
        <w:ind w:left="0"/>
        <w:jc w:val="both"/>
      </w:pPr>
      <w:r>
        <w:rPr>
          <w:rFonts w:ascii="Times New Roman" w:hAnsi="Times New Roman"/>
          <w:b/>
          <w:i w:val="0"/>
          <w:sz w:val="24"/>
        </w:rPr>
        <w:t>2.</w:t>
      </w:r>
      <w:r>
        <w:rPr>
          <w:rFonts w:ascii="Times New Roman" w:hAnsi="Times New Roman"/>
          <w:b w:val="0"/>
          <w:i w:val="0"/>
          <w:sz w:val="24"/>
        </w:rPr>
        <w:t xml:space="preserve"> 16/7/2026 tarihli ve 7589 sayılı Kanunun 13. maddesiyle Türk Ceza Kanununun 158. maddesine eklenen dördüncü fıkra şöyledir: </w:t>
      </w:r>
      <w:r>
        <w:rPr>
          <w:rFonts w:ascii="Times New Roman" w:hAnsi="Times New Roman"/>
          <w:b w:val="0"/>
          <w:i/>
          <w:sz w:val="24"/>
        </w:rPr>
        <w:t>"Bu madde ile 157 nci maddede yer alan suçlara iştirakin, kendisine veya başkasına haksız bir menfaat sağlamak amacıyla kendisine veya başkasına ait banka veya kredi kartı gibi ödeme araçlarını ya da banka, aracı kurum, ödeme hizmeti sağlayıcıları veya kripto varlık hizmet sağlayıcıları nezdinde bulunan hesabın kullanılmasını sağlayan zorunlu bilgileri veya araçları başkasına vermek fiiliyle sınırlı olması halinde verilecek ceza yarı oranında indirilir."</w:t>
      </w:r>
    </w:p>
    <w:p>
      <w:pPr>
        <w:spacing w:after="160"/>
        <w:ind w:left="0"/>
        <w:jc w:val="both"/>
      </w:pPr>
      <w:r>
        <w:rPr>
          <w:rFonts w:ascii="Times New Roman" w:hAnsi="Times New Roman"/>
          <w:b/>
          <w:i w:val="0"/>
          <w:sz w:val="24"/>
        </w:rPr>
        <w:t>3.</w:t>
      </w:r>
      <w:r>
        <w:rPr>
          <w:rFonts w:ascii="Times New Roman" w:hAnsi="Times New Roman"/>
          <w:b w:val="0"/>
          <w:i w:val="0"/>
          <w:sz w:val="24"/>
        </w:rPr>
        <w:t xml:space="preserve"> Somut olayda bana isnat edilen fiil, [ ● ] Bankası nezdindeki [ ● ] numaralı hesabıma ilişkin [ kart / şifre / internet bankacılığı bilgileri / kripto varlık hesabı erişim bilgileri ]ni [ ● ] tarihinde [ ● ]'a vermekten ibarettir. Bunun ötesinde; mağdurla herhangi bir temasım olmamış, kendimi kamu görevlisi veya banka çalışanı olarak tanıtmamış, aldatıcı hareketlerin hiçbirine katılmamış, hesaba gelen parayı çekmemiş veya yönlendirmemiş, başka kişileri hesap vermeye ikna etmemişimdir. [ Somut olayınıza göre ayrıntılı doldurunuz. ]</w:t>
      </w:r>
    </w:p>
    <w:p>
      <w:pPr>
        <w:spacing w:after="160"/>
        <w:ind w:left="0"/>
        <w:jc w:val="both"/>
      </w:pPr>
      <w:r>
        <w:rPr>
          <w:rFonts w:ascii="Times New Roman" w:hAnsi="Times New Roman"/>
          <w:b/>
          <w:i w:val="0"/>
          <w:sz w:val="24"/>
        </w:rPr>
        <w:t>4.</w:t>
      </w:r>
      <w:r>
        <w:rPr>
          <w:rFonts w:ascii="Times New Roman" w:hAnsi="Times New Roman"/>
          <w:b w:val="0"/>
          <w:i w:val="0"/>
          <w:sz w:val="24"/>
        </w:rPr>
        <w:t xml:space="preserve"> Bu husus dosya kapsamındaki delillerle de sabittir: [ ● ] tarihli HTS kayıtlarında mağdurla aramda herhangi bir iletişim bulunmamaktadır; [ ● ] numaralı hesabıma ilişkin banka hareketlerinde para çekme işlemi tarafımca gerçekleştirilmemiştir; [ ● ] tarihli mesaj içerikleri fiilimin yalnızca hesap bilgisi vermekten ibaret olduğunu göstermektedir. [ Dosyanızdaki delilleri tek tek ve tarihleriyle belirtiniz. ]</w:t>
      </w:r>
    </w:p>
    <w:p>
      <w:pPr>
        <w:spacing w:after="160"/>
        <w:ind w:left="0"/>
        <w:jc w:val="both"/>
      </w:pPr>
      <w:r>
        <w:rPr>
          <w:rFonts w:ascii="Times New Roman" w:hAnsi="Times New Roman"/>
          <w:b/>
          <w:i w:val="0"/>
          <w:sz w:val="24"/>
        </w:rPr>
        <w:t>5.</w:t>
      </w:r>
      <w:r>
        <w:rPr>
          <w:rFonts w:ascii="Times New Roman" w:hAnsi="Times New Roman"/>
          <w:b w:val="0"/>
          <w:i w:val="0"/>
          <w:sz w:val="24"/>
        </w:rPr>
        <w:t xml:space="preserve"> Bu itibarla suça iştirakim, TCK m. 158/4'te tanımlanan fiille </w:t>
      </w:r>
      <w:r>
        <w:rPr>
          <w:rFonts w:ascii="Times New Roman" w:hAnsi="Times New Roman"/>
          <w:b/>
          <w:i w:val="0"/>
          <w:sz w:val="24"/>
        </w:rPr>
        <w:t>sınırlı</w:t>
      </w:r>
      <w:r>
        <w:rPr>
          <w:rFonts w:ascii="Times New Roman" w:hAnsi="Times New Roman"/>
          <w:b w:val="0"/>
          <w:i w:val="0"/>
          <w:sz w:val="24"/>
        </w:rPr>
        <w:t xml:space="preserve"> olup, hakkımda anılan fıkra uyarınca cezada yarı oranında indirim uygulanması gerekmektedir.</w:t>
      </w:r>
    </w:p>
    <w:p>
      <w:pPr>
        <w:spacing w:after="160"/>
        <w:ind w:left="0"/>
        <w:jc w:val="both"/>
      </w:pPr>
      <w:r>
        <w:rPr>
          <w:rFonts w:ascii="Times New Roman" w:hAnsi="Times New Roman"/>
          <w:b/>
          <w:i w:val="0"/>
          <w:sz w:val="24"/>
        </w:rPr>
        <w:t>6.</w:t>
      </w:r>
      <w:r>
        <w:rPr>
          <w:rFonts w:ascii="Times New Roman" w:hAnsi="Times New Roman"/>
          <w:b w:val="0"/>
          <w:i w:val="0"/>
          <w:sz w:val="24"/>
        </w:rPr>
        <w:t xml:space="preserve"> [ Zararı kısmen veya tamamen giderdiyseniz: "Ayrıca mağdurun uğradığı zararı [ ● ] tarihinde [ tamamen / kısmen ] gidermiş bulunmaktayım; ekte sunulan ödeme belgeleri uyarınca hakkımda TCK m. 168 etkin pişmanlık hükümlerinin de uygulanmasını talep ederim." Kısmi ödemede etkin pişmanlık için mağdurun rızası aranır (TCK m. 168/4). ]</w:t>
      </w:r>
    </w:p>
    <w:p>
      <w:pPr>
        <w:spacing w:after="120" w:before="280"/>
        <w:ind w:left="2600" w:hanging="2600"/>
        <w:jc w:val="left"/>
      </w:pPr>
      <w:r>
        <w:rPr>
          <w:rFonts w:ascii="Times New Roman" w:hAnsi="Times New Roman"/>
          <w:b/>
          <w:i w:val="0"/>
          <w:sz w:val="24"/>
        </w:rPr>
        <w:t>HUKUKİ NEDENLER</w:t>
      </w:r>
      <w:r>
        <w:rPr>
          <w:rFonts w:ascii="Times New Roman" w:hAnsi="Times New Roman"/>
          <w:b w:val="0"/>
          <w:i w:val="0"/>
          <w:sz w:val="24"/>
        </w:rPr>
        <w:t xml:space="preserve"> : 5237 sayılı TCK m. 37, m. 39, m. 157, m. 158 (özellikle 158/4), m. 168, 7589 sayılı Kanun m. 13 ve geçici m. 1, 5271 sayılı CMK ve ilgili sair mevzuat.</w:t>
      </w:r>
    </w:p>
    <w:p>
      <w:pPr>
        <w:spacing w:after="360"/>
        <w:ind w:left="2600" w:hanging="2600"/>
        <w:jc w:val="left"/>
      </w:pPr>
      <w:r>
        <w:rPr>
          <w:rFonts w:ascii="Times New Roman" w:hAnsi="Times New Roman"/>
          <w:b/>
          <w:i w:val="0"/>
          <w:sz w:val="24"/>
        </w:rPr>
        <w:t>DELİLLER</w:t>
      </w:r>
      <w:r>
        <w:rPr>
          <w:rFonts w:ascii="Times New Roman" w:hAnsi="Times New Roman"/>
          <w:b w:val="0"/>
          <w:i w:val="0"/>
          <w:sz w:val="24"/>
        </w:rPr>
        <w:t xml:space="preserve">               : Sayın Mahkemenizin [ ● ] E. sayılı dosyası, HTS kayıtları, banka hesap hareketleri, mesaj içerikleri, mağdur ve tanık beyanları, [ varsa ] ödeme belgeleri ve sair yasal deliller.</w:t>
      </w:r>
    </w:p>
    <w:p>
      <w:pPr>
        <w:spacing w:after="160" w:before="280"/>
        <w:ind w:left="0"/>
        <w:jc w:val="left"/>
      </w:pPr>
      <w:r>
        <w:rPr>
          <w:rFonts w:ascii="Times New Roman" w:hAnsi="Times New Roman"/>
          <w:b/>
          <w:i w:val="0"/>
          <w:sz w:val="24"/>
        </w:rPr>
        <w:t>SONUÇ VE İSTEM</w:t>
      </w:r>
    </w:p>
    <w:p>
      <w:pPr>
        <w:spacing w:after="160"/>
        <w:ind w:left="0"/>
        <w:jc w:val="both"/>
      </w:pPr>
      <w:r>
        <w:rPr>
          <w:rFonts w:ascii="Times New Roman" w:hAnsi="Times New Roman"/>
          <w:b w:val="0"/>
          <w:i w:val="0"/>
          <w:sz w:val="24"/>
        </w:rPr>
        <w:t>Yukarıda açıklanan nedenlerle;</w:t>
      </w:r>
    </w:p>
    <w:p>
      <w:pPr>
        <w:spacing w:after="160"/>
        <w:ind w:left="0"/>
        <w:jc w:val="both"/>
      </w:pPr>
      <w:r>
        <w:rPr>
          <w:rFonts w:ascii="Times New Roman" w:hAnsi="Times New Roman"/>
          <w:b/>
          <w:i w:val="0"/>
          <w:sz w:val="24"/>
        </w:rPr>
        <w:t>1.</w:t>
      </w:r>
      <w:r>
        <w:rPr>
          <w:rFonts w:ascii="Times New Roman" w:hAnsi="Times New Roman"/>
          <w:b w:val="0"/>
          <w:i w:val="0"/>
          <w:sz w:val="24"/>
        </w:rPr>
        <w:t xml:space="preserve"> Suça iştirakimin TCK m. 158/4'te tanımlanan fiille </w:t>
      </w:r>
      <w:r>
        <w:rPr>
          <w:rFonts w:ascii="Times New Roman" w:hAnsi="Times New Roman"/>
          <w:b/>
          <w:i w:val="0"/>
          <w:sz w:val="24"/>
        </w:rPr>
        <w:t>sınırlı olduğunun tespitine</w:t>
      </w:r>
      <w:r>
        <w:rPr>
          <w:rFonts w:ascii="Times New Roman" w:hAnsi="Times New Roman"/>
          <w:b w:val="0"/>
          <w:i w:val="0"/>
          <w:sz w:val="24"/>
        </w:rPr>
        <w:t>,</w:t>
      </w:r>
    </w:p>
    <w:p>
      <w:pPr>
        <w:spacing w:after="160"/>
        <w:ind w:left="0"/>
        <w:jc w:val="both"/>
      </w:pPr>
      <w:r>
        <w:rPr>
          <w:rFonts w:ascii="Times New Roman" w:hAnsi="Times New Roman"/>
          <w:b/>
          <w:i w:val="0"/>
          <w:sz w:val="24"/>
        </w:rPr>
        <w:t>2.</w:t>
      </w:r>
      <w:r>
        <w:rPr>
          <w:rFonts w:ascii="Times New Roman" w:hAnsi="Times New Roman"/>
          <w:b w:val="0"/>
          <w:i w:val="0"/>
          <w:sz w:val="24"/>
        </w:rPr>
        <w:t xml:space="preserve"> Hakkımda TCK m. 158/4 uyarınca </w:t>
      </w:r>
      <w:r>
        <w:rPr>
          <w:rFonts w:ascii="Times New Roman" w:hAnsi="Times New Roman"/>
          <w:b/>
          <w:i w:val="0"/>
          <w:sz w:val="24"/>
        </w:rPr>
        <w:t>cezada yarı oranında indirim uygulanmasına</w:t>
      </w:r>
      <w:r>
        <w:rPr>
          <w:rFonts w:ascii="Times New Roman" w:hAnsi="Times New Roman"/>
          <w:b w:val="0"/>
          <w:i w:val="0"/>
          <w:sz w:val="24"/>
        </w:rPr>
        <w:t>,</w:t>
      </w:r>
    </w:p>
    <w:p>
      <w:pPr>
        <w:spacing w:after="160"/>
        <w:ind w:left="0"/>
        <w:jc w:val="both"/>
      </w:pPr>
      <w:r>
        <w:rPr>
          <w:rFonts w:ascii="Times New Roman" w:hAnsi="Times New Roman"/>
          <w:b/>
          <w:i w:val="0"/>
          <w:sz w:val="24"/>
        </w:rPr>
        <w:t>3.</w:t>
      </w:r>
      <w:r>
        <w:rPr>
          <w:rFonts w:ascii="Times New Roman" w:hAnsi="Times New Roman"/>
          <w:b w:val="0"/>
          <w:i w:val="0"/>
          <w:sz w:val="24"/>
        </w:rPr>
        <w:t xml:space="preserve"> Suça katılımımın niteliği itibarıyla TCK m. 39 uyarınca </w:t>
      </w:r>
      <w:r>
        <w:rPr>
          <w:rFonts w:ascii="Times New Roman" w:hAnsi="Times New Roman"/>
          <w:b/>
          <w:i w:val="0"/>
          <w:sz w:val="24"/>
        </w:rPr>
        <w:t>yardım eden</w:t>
      </w:r>
      <w:r>
        <w:rPr>
          <w:rFonts w:ascii="Times New Roman" w:hAnsi="Times New Roman"/>
          <w:b w:val="0"/>
          <w:i w:val="0"/>
          <w:sz w:val="24"/>
        </w:rPr>
        <w:t xml:space="preserve"> olarak sorumluluğumun kabulü ile anılan madde uyarınca </w:t>
      </w:r>
      <w:r>
        <w:rPr>
          <w:rFonts w:ascii="Times New Roman" w:hAnsi="Times New Roman"/>
          <w:b/>
          <w:i w:val="0"/>
          <w:sz w:val="24"/>
        </w:rPr>
        <w:t>ayrıca indirim uygulanmasına</w:t>
      </w:r>
      <w:r>
        <w:rPr>
          <w:rFonts w:ascii="Times New Roman" w:hAnsi="Times New Roman"/>
          <w:b w:val="0"/>
          <w:i w:val="0"/>
          <w:sz w:val="24"/>
        </w:rPr>
        <w:t>,</w:t>
      </w:r>
    </w:p>
    <w:p>
      <w:pPr>
        <w:spacing w:after="160"/>
        <w:ind w:left="0"/>
        <w:jc w:val="both"/>
      </w:pPr>
      <w:r>
        <w:rPr>
          <w:rFonts w:ascii="Times New Roman" w:hAnsi="Times New Roman"/>
          <w:b/>
          <w:i w:val="0"/>
          <w:sz w:val="24"/>
        </w:rPr>
        <w:t>4.</w:t>
      </w:r>
      <w:r>
        <w:rPr>
          <w:rFonts w:ascii="Times New Roman" w:hAnsi="Times New Roman"/>
          <w:b w:val="0"/>
          <w:i w:val="0"/>
          <w:sz w:val="24"/>
        </w:rPr>
        <w:t xml:space="preserve"> [ Zararı giderdiyseniz ] TCK m. 168 uyarınca </w:t>
      </w:r>
      <w:r>
        <w:rPr>
          <w:rFonts w:ascii="Times New Roman" w:hAnsi="Times New Roman"/>
          <w:b/>
          <w:i w:val="0"/>
          <w:sz w:val="24"/>
        </w:rPr>
        <w:t>etkin pişmanlık hükümlerinin uygulanmasına</w:t>
      </w:r>
      <w:r>
        <w:rPr>
          <w:rFonts w:ascii="Times New Roman" w:hAnsi="Times New Roman"/>
          <w:b w:val="0"/>
          <w:i w:val="0"/>
          <w:sz w:val="24"/>
        </w:rPr>
        <w:t>,</w:t>
      </w:r>
    </w:p>
    <w:p>
      <w:pPr>
        <w:spacing w:after="480"/>
        <w:ind w:left="0"/>
        <w:jc w:val="both"/>
      </w:pPr>
      <w:r>
        <w:rPr>
          <w:rFonts w:ascii="Times New Roman" w:hAnsi="Times New Roman"/>
          <w:b w:val="0"/>
          <w:i w:val="0"/>
          <w:sz w:val="24"/>
        </w:rPr>
        <w:t>karar verilmesini saygıyla arz ve talep ederim. …… / …… / 20……</w:t>
      </w:r>
    </w:p>
    <w:p>
      <w:pPr>
        <w:spacing w:after="40"/>
        <w:jc w:val="right"/>
      </w:pPr>
      <w:r>
        <w:rPr>
          <w:rFonts w:ascii="Times New Roman" w:hAnsi="Times New Roman"/>
          <w:b/>
          <w:i w:val="0"/>
          <w:sz w:val="24"/>
        </w:rPr>
        <w:t>Sanık [ / Müdafii ]</w:t>
      </w:r>
    </w:p>
    <w:p>
      <w:pPr>
        <w:spacing w:after="360"/>
        <w:jc w:val="right"/>
      </w:pPr>
      <w:r>
        <w:rPr>
          <w:rFonts w:ascii="Times New Roman" w:hAnsi="Times New Roman"/>
          <w:b/>
          <w:i w:val="0"/>
          <w:sz w:val="24"/>
        </w:rPr>
        <w:t>[ Ad Soyad ]</w:t>
      </w:r>
    </w:p>
    <w:p>
      <w:pPr>
        <w:spacing w:after="120"/>
        <w:ind w:left="0"/>
        <w:jc w:val="left"/>
      </w:pPr>
      <w:r>
        <w:rPr>
          <w:rFonts w:ascii="Times New Roman" w:hAnsi="Times New Roman"/>
          <w:b/>
          <w:i w:val="0"/>
          <w:sz w:val="20"/>
        </w:rPr>
        <w:t>EKLER:</w:t>
      </w:r>
      <w:r>
        <w:rPr>
          <w:rFonts w:ascii="Times New Roman" w:hAnsi="Times New Roman"/>
          <w:b w:val="0"/>
          <w:i w:val="0"/>
          <w:sz w:val="20"/>
        </w:rPr>
        <w:t xml:space="preserve"> 1) Nüfus cüzdanı fotokopisi · 2) [ Varsa ] ödeme/tazmin belgeleri · 3) [ Varsa ] hesap hareketleri ve iletişim kayıtlarına ilişkin belgeler · 4) [ ● ]</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